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A3BC" w14:textId="77777777" w:rsidR="009C5865" w:rsidRPr="004D0BD8" w:rsidRDefault="009C5865" w:rsidP="009C5865">
      <w:pPr>
        <w:rPr>
          <w:b/>
          <w:sz w:val="28"/>
          <w:szCs w:val="28"/>
        </w:rPr>
      </w:pPr>
      <w:bookmarkStart w:id="0" w:name="_GoBack"/>
      <w:bookmarkEnd w:id="0"/>
      <w:r w:rsidRPr="004D0BD8">
        <w:rPr>
          <w:b/>
          <w:sz w:val="28"/>
          <w:szCs w:val="28"/>
        </w:rPr>
        <w:t>Ministry of Foreign Affairs of Denmark</w:t>
      </w:r>
    </w:p>
    <w:p w14:paraId="7591A3BD" w14:textId="77777777" w:rsidR="009557B1" w:rsidRPr="006D7C3D" w:rsidRDefault="009557B1" w:rsidP="009C5865">
      <w:pPr>
        <w:rPr>
          <w:b/>
          <w:sz w:val="26"/>
        </w:rPr>
      </w:pPr>
      <w:r>
        <w:rPr>
          <w:b/>
          <w:sz w:val="26"/>
        </w:rPr>
        <w:t xml:space="preserve">Neighbourhood Programme </w:t>
      </w:r>
    </w:p>
    <w:p w14:paraId="7591A3BE" w14:textId="77777777" w:rsidR="009C5865" w:rsidRPr="006D7C3D" w:rsidRDefault="009C5865" w:rsidP="009C5865">
      <w:pPr>
        <w:rPr>
          <w:b/>
          <w:sz w:val="26"/>
        </w:rPr>
      </w:pPr>
      <w:r w:rsidRPr="006D7C3D">
        <w:rPr>
          <w:b/>
          <w:sz w:val="26"/>
        </w:rPr>
        <w:t>Technical Advisory Services</w:t>
      </w:r>
    </w:p>
    <w:p w14:paraId="7591A3BF" w14:textId="77777777" w:rsidR="009C5865" w:rsidRDefault="009C5865" w:rsidP="009C5865"/>
    <w:p w14:paraId="7591A3C0" w14:textId="77777777" w:rsidR="009C5865" w:rsidRDefault="009C5865" w:rsidP="009C5865"/>
    <w:p w14:paraId="7591A3C1" w14:textId="77777777" w:rsidR="009C5865" w:rsidRDefault="009C5865" w:rsidP="009C5865"/>
    <w:p w14:paraId="7591A3C2" w14:textId="77777777" w:rsidR="009C5865" w:rsidRDefault="009C5865" w:rsidP="009C5865"/>
    <w:p w14:paraId="7591A3C3" w14:textId="77777777" w:rsidR="009C5865" w:rsidRDefault="009C5865" w:rsidP="009C5865"/>
    <w:p w14:paraId="7591A3C4" w14:textId="77777777" w:rsidR="009C5865" w:rsidRDefault="009C5865" w:rsidP="009C5865"/>
    <w:p w14:paraId="7591A3C5" w14:textId="77777777" w:rsidR="009C5865" w:rsidRDefault="009C5865" w:rsidP="009C5865"/>
    <w:p w14:paraId="7591A3C6" w14:textId="77777777" w:rsidR="009C5865" w:rsidRDefault="009C5865" w:rsidP="009C5865"/>
    <w:p w14:paraId="7591A3C7" w14:textId="77777777" w:rsidR="009C5865" w:rsidRDefault="009C5865" w:rsidP="009C5865"/>
    <w:p w14:paraId="7591A3C8" w14:textId="77777777" w:rsidR="009C5865" w:rsidRDefault="009C5865" w:rsidP="009C5865"/>
    <w:p w14:paraId="7591A3C9" w14:textId="77777777" w:rsidR="00F50983" w:rsidRDefault="00F50983" w:rsidP="006D7C3D">
      <w:pPr>
        <w:jc w:val="center"/>
        <w:rPr>
          <w:b/>
          <w:sz w:val="40"/>
          <w:szCs w:val="40"/>
        </w:rPr>
      </w:pPr>
    </w:p>
    <w:p w14:paraId="7591A3CA" w14:textId="77777777" w:rsidR="00F50983" w:rsidRDefault="00F50983" w:rsidP="006D7C3D">
      <w:pPr>
        <w:jc w:val="center"/>
        <w:rPr>
          <w:b/>
          <w:sz w:val="40"/>
          <w:szCs w:val="40"/>
        </w:rPr>
      </w:pPr>
    </w:p>
    <w:p w14:paraId="7591A3CB" w14:textId="77777777" w:rsidR="00F50983" w:rsidRDefault="00F50983" w:rsidP="006D7C3D">
      <w:pPr>
        <w:jc w:val="center"/>
        <w:rPr>
          <w:b/>
          <w:sz w:val="40"/>
          <w:szCs w:val="40"/>
        </w:rPr>
      </w:pPr>
    </w:p>
    <w:p w14:paraId="7591A3CC" w14:textId="77777777" w:rsidR="00F50983" w:rsidRDefault="00F50983" w:rsidP="006D7C3D">
      <w:pPr>
        <w:jc w:val="center"/>
        <w:rPr>
          <w:b/>
          <w:sz w:val="40"/>
          <w:szCs w:val="40"/>
        </w:rPr>
      </w:pPr>
    </w:p>
    <w:p w14:paraId="7591A3CD" w14:textId="77777777" w:rsidR="00F6530A" w:rsidRDefault="009C5865" w:rsidP="006D7C3D">
      <w:pPr>
        <w:jc w:val="center"/>
        <w:rPr>
          <w:b/>
          <w:sz w:val="40"/>
          <w:szCs w:val="40"/>
        </w:rPr>
      </w:pPr>
      <w:r w:rsidRPr="006D7C3D">
        <w:rPr>
          <w:b/>
          <w:sz w:val="40"/>
          <w:szCs w:val="40"/>
        </w:rPr>
        <w:t xml:space="preserve">Review of </w:t>
      </w:r>
      <w:r w:rsidR="006D7C3D" w:rsidRPr="006D7C3D">
        <w:rPr>
          <w:b/>
          <w:sz w:val="40"/>
          <w:szCs w:val="40"/>
        </w:rPr>
        <w:t>Civil Society</w:t>
      </w:r>
      <w:r w:rsidR="00F6530A">
        <w:rPr>
          <w:b/>
          <w:sz w:val="40"/>
          <w:szCs w:val="40"/>
        </w:rPr>
        <w:t xml:space="preserve"> Development</w:t>
      </w:r>
      <w:r w:rsidR="006D7C3D" w:rsidRPr="006D7C3D">
        <w:rPr>
          <w:b/>
          <w:sz w:val="40"/>
          <w:szCs w:val="40"/>
        </w:rPr>
        <w:t xml:space="preserve"> </w:t>
      </w:r>
      <w:r w:rsidR="00F113A4">
        <w:rPr>
          <w:b/>
          <w:sz w:val="40"/>
          <w:szCs w:val="40"/>
        </w:rPr>
        <w:t>P</w:t>
      </w:r>
      <w:r w:rsidR="006D7C3D" w:rsidRPr="006D7C3D">
        <w:rPr>
          <w:b/>
          <w:sz w:val="40"/>
          <w:szCs w:val="40"/>
        </w:rPr>
        <w:t xml:space="preserve">rogramme </w:t>
      </w:r>
    </w:p>
    <w:p w14:paraId="7591A3CE" w14:textId="77777777" w:rsidR="00F6530A" w:rsidRDefault="006D7C3D" w:rsidP="006D7C3D">
      <w:pPr>
        <w:jc w:val="center"/>
        <w:rPr>
          <w:b/>
          <w:sz w:val="40"/>
          <w:szCs w:val="40"/>
        </w:rPr>
      </w:pPr>
      <w:r w:rsidRPr="006D7C3D">
        <w:rPr>
          <w:b/>
          <w:sz w:val="40"/>
          <w:szCs w:val="40"/>
        </w:rPr>
        <w:t xml:space="preserve">in </w:t>
      </w:r>
    </w:p>
    <w:p w14:paraId="7591A3CF" w14:textId="77777777" w:rsidR="006D7C3D" w:rsidRPr="006D7C3D" w:rsidRDefault="006D7C3D" w:rsidP="006D7C3D">
      <w:pPr>
        <w:jc w:val="center"/>
        <w:rPr>
          <w:b/>
          <w:sz w:val="40"/>
          <w:szCs w:val="40"/>
        </w:rPr>
      </w:pPr>
      <w:r w:rsidRPr="006D7C3D">
        <w:rPr>
          <w:b/>
          <w:sz w:val="40"/>
          <w:szCs w:val="40"/>
        </w:rPr>
        <w:t>Ukraine.</w:t>
      </w:r>
    </w:p>
    <w:p w14:paraId="7591A3D0" w14:textId="77777777" w:rsidR="006D7C3D" w:rsidRPr="006D7C3D" w:rsidRDefault="006D7C3D" w:rsidP="006D7C3D">
      <w:pPr>
        <w:jc w:val="center"/>
        <w:rPr>
          <w:b/>
          <w:sz w:val="40"/>
          <w:szCs w:val="40"/>
        </w:rPr>
      </w:pPr>
    </w:p>
    <w:p w14:paraId="7591A3D1" w14:textId="77777777" w:rsidR="006D7C3D" w:rsidRDefault="006D7C3D" w:rsidP="006D7C3D">
      <w:pPr>
        <w:jc w:val="center"/>
      </w:pPr>
    </w:p>
    <w:p w14:paraId="7591A3D2" w14:textId="77777777" w:rsidR="006D7C3D" w:rsidRDefault="006D7C3D" w:rsidP="006D7C3D">
      <w:pPr>
        <w:jc w:val="center"/>
      </w:pPr>
    </w:p>
    <w:p w14:paraId="7591A3D3" w14:textId="77777777" w:rsidR="006D7C3D" w:rsidRDefault="006D7C3D" w:rsidP="006D7C3D">
      <w:pPr>
        <w:jc w:val="center"/>
      </w:pPr>
    </w:p>
    <w:p w14:paraId="7591A3D4" w14:textId="77777777" w:rsidR="009C5865" w:rsidRPr="006D7C3D" w:rsidRDefault="006D7C3D" w:rsidP="006D7C3D">
      <w:pPr>
        <w:jc w:val="center"/>
        <w:rPr>
          <w:b/>
          <w:sz w:val="26"/>
        </w:rPr>
      </w:pPr>
      <w:r w:rsidRPr="006D7C3D">
        <w:rPr>
          <w:b/>
          <w:sz w:val="26"/>
        </w:rPr>
        <w:t>September 2011</w:t>
      </w:r>
    </w:p>
    <w:p w14:paraId="7591A3D5" w14:textId="77777777" w:rsidR="009C5865" w:rsidRPr="006D7C3D" w:rsidRDefault="009C5865" w:rsidP="006D7C3D">
      <w:pPr>
        <w:jc w:val="center"/>
        <w:rPr>
          <w:b/>
          <w:sz w:val="26"/>
        </w:rPr>
      </w:pPr>
    </w:p>
    <w:p w14:paraId="7591A3D6" w14:textId="77777777" w:rsidR="009C5865" w:rsidRDefault="009C5865" w:rsidP="009C5865"/>
    <w:p w14:paraId="7591A3D7" w14:textId="77777777" w:rsidR="009C5865" w:rsidRDefault="009C5865" w:rsidP="009C5865"/>
    <w:p w14:paraId="7591A3D8" w14:textId="77777777" w:rsidR="009C5865" w:rsidRDefault="009C5865" w:rsidP="009C5865"/>
    <w:p w14:paraId="7591A3D9" w14:textId="77777777" w:rsidR="009C5865" w:rsidRDefault="009C5865" w:rsidP="009C5865"/>
    <w:p w14:paraId="7591A3DA" w14:textId="77777777" w:rsidR="009C5865" w:rsidRDefault="009C5865" w:rsidP="009C5865"/>
    <w:p w14:paraId="7591A3DB" w14:textId="77777777" w:rsidR="009C5865" w:rsidRDefault="009C5865" w:rsidP="009C5865"/>
    <w:p w14:paraId="7591A3DC" w14:textId="77777777" w:rsidR="009C5865" w:rsidRDefault="009C5865" w:rsidP="009C5865"/>
    <w:p w14:paraId="7591A3DD" w14:textId="77777777" w:rsidR="009C5865" w:rsidRDefault="009C5865" w:rsidP="009C5865"/>
    <w:p w14:paraId="7591A3DE" w14:textId="77777777" w:rsidR="009C5865" w:rsidRDefault="009C5865" w:rsidP="009C5865"/>
    <w:p w14:paraId="7591A3DF" w14:textId="77777777" w:rsidR="009C5865" w:rsidRDefault="009C5865" w:rsidP="009C5865"/>
    <w:p w14:paraId="7591A3E0" w14:textId="77777777" w:rsidR="009C5865" w:rsidRDefault="009C5865" w:rsidP="009C5865"/>
    <w:p w14:paraId="7591A3E1" w14:textId="77777777" w:rsidR="009C5865" w:rsidRDefault="009C5865" w:rsidP="009C5865"/>
    <w:p w14:paraId="7591A3E2" w14:textId="77777777" w:rsidR="006D7C3D" w:rsidRDefault="006D7C3D" w:rsidP="009C5865"/>
    <w:p w14:paraId="7591A3E3" w14:textId="77777777" w:rsidR="006D7C3D" w:rsidRDefault="006D7C3D" w:rsidP="009C5865"/>
    <w:p w14:paraId="7591A3E4" w14:textId="77777777" w:rsidR="006D7C3D" w:rsidRDefault="006D7C3D" w:rsidP="009C5865"/>
    <w:p w14:paraId="7591A3E5" w14:textId="77777777" w:rsidR="00C9255D" w:rsidRDefault="006D7C3D" w:rsidP="009C5865">
      <w:pPr>
        <w:rPr>
          <w:b/>
        </w:rPr>
      </w:pPr>
      <w:r w:rsidRPr="006D7C3D">
        <w:rPr>
          <w:b/>
        </w:rPr>
        <w:t>403.Ukraine.1-05</w:t>
      </w:r>
    </w:p>
    <w:p w14:paraId="7591A3E6" w14:textId="77777777" w:rsidR="003F6C9C" w:rsidRDefault="003F6C9C" w:rsidP="009C5865">
      <w:pPr>
        <w:rPr>
          <w:b/>
        </w:rPr>
        <w:sectPr w:rsidR="003F6C9C" w:rsidSect="006C690D">
          <w:footerReference w:type="default" r:id="rId12"/>
          <w:pgSz w:w="11906" w:h="16838"/>
          <w:pgMar w:top="1701" w:right="1134" w:bottom="1701" w:left="1134" w:header="708" w:footer="708" w:gutter="0"/>
          <w:pgNumType w:start="0"/>
          <w:cols w:space="708"/>
          <w:docGrid w:linePitch="360"/>
        </w:sectPr>
      </w:pPr>
    </w:p>
    <w:p w14:paraId="7591A3E7" w14:textId="77777777" w:rsidR="00F6530A" w:rsidRDefault="00F6530A">
      <w:pPr>
        <w:widowControl/>
        <w:autoSpaceDE/>
        <w:autoSpaceDN/>
        <w:adjustRightInd/>
        <w:spacing w:after="200" w:line="276" w:lineRule="auto"/>
        <w:rPr>
          <w:b/>
        </w:rPr>
      </w:pPr>
      <w:r>
        <w:rPr>
          <w:b/>
        </w:rPr>
        <w:lastRenderedPageBreak/>
        <w:br w:type="page"/>
      </w:r>
    </w:p>
    <w:p w14:paraId="7591A3E8" w14:textId="77777777" w:rsidR="003F6C9C" w:rsidRPr="006D7C3D" w:rsidRDefault="003F6C9C" w:rsidP="009C5865">
      <w:pPr>
        <w:rPr>
          <w:b/>
        </w:rPr>
      </w:pPr>
    </w:p>
    <w:p w14:paraId="7591A3E9" w14:textId="77777777" w:rsidR="00C9255D" w:rsidRPr="006718F1" w:rsidRDefault="00C9255D" w:rsidP="00DB2EF0"/>
    <w:p w14:paraId="7591A3EA" w14:textId="77777777" w:rsidR="00004CE3" w:rsidRDefault="006D7C3D" w:rsidP="003F6C9C">
      <w:pPr>
        <w:widowControl/>
        <w:autoSpaceDE/>
        <w:autoSpaceDN/>
        <w:adjustRightInd/>
        <w:spacing w:after="200" w:line="276" w:lineRule="auto"/>
        <w:rPr>
          <w:b/>
          <w:sz w:val="28"/>
          <w:szCs w:val="28"/>
        </w:rPr>
      </w:pPr>
      <w:r w:rsidRPr="006B1C6A">
        <w:rPr>
          <w:b/>
          <w:sz w:val="28"/>
          <w:szCs w:val="28"/>
        </w:rPr>
        <w:t>List</w:t>
      </w:r>
      <w:r w:rsidR="00004CE3" w:rsidRPr="006B1C6A">
        <w:rPr>
          <w:b/>
          <w:sz w:val="28"/>
          <w:szCs w:val="28"/>
        </w:rPr>
        <w:t xml:space="preserve"> of content:</w:t>
      </w:r>
    </w:p>
    <w:p w14:paraId="7591A3EB" w14:textId="77777777" w:rsidR="006B1C6A" w:rsidRPr="006B1C6A" w:rsidRDefault="006B1C6A" w:rsidP="006B1C6A">
      <w:pPr>
        <w:widowControl/>
        <w:autoSpaceDE/>
        <w:autoSpaceDN/>
        <w:adjustRightInd/>
        <w:spacing w:after="200" w:line="276" w:lineRule="auto"/>
        <w:jc w:val="center"/>
        <w:rPr>
          <w:b/>
          <w:sz w:val="28"/>
          <w:szCs w:val="28"/>
        </w:rPr>
      </w:pPr>
    </w:p>
    <w:p w14:paraId="7591A3EC" w14:textId="77777777" w:rsidR="00004CE3" w:rsidRPr="003F6C9C" w:rsidRDefault="003F6C9C" w:rsidP="00004CE3">
      <w:pPr>
        <w:widowControl/>
        <w:autoSpaceDE/>
        <w:autoSpaceDN/>
        <w:adjustRightInd/>
        <w:spacing w:after="200" w:line="276" w:lineRule="auto"/>
        <w:rPr>
          <w:i/>
          <w:sz w:val="26"/>
        </w:rPr>
      </w:pPr>
      <w:r>
        <w:rPr>
          <w:i/>
          <w:sz w:val="26"/>
        </w:rPr>
        <w:t xml:space="preserve">Acronyms and </w:t>
      </w:r>
      <w:r w:rsidR="006B1C6A" w:rsidRPr="003F6C9C">
        <w:rPr>
          <w:i/>
          <w:sz w:val="26"/>
        </w:rPr>
        <w:t>abbreviations</w:t>
      </w:r>
    </w:p>
    <w:p w14:paraId="7591A3ED" w14:textId="77777777" w:rsidR="006D7C3D" w:rsidRPr="003F6C9C" w:rsidRDefault="002B0A63" w:rsidP="00004CE3">
      <w:pPr>
        <w:widowControl/>
        <w:autoSpaceDE/>
        <w:autoSpaceDN/>
        <w:adjustRightInd/>
        <w:spacing w:after="200" w:line="276" w:lineRule="auto"/>
        <w:rPr>
          <w:sz w:val="26"/>
        </w:rPr>
      </w:pPr>
      <w:r w:rsidRPr="003F6C9C">
        <w:rPr>
          <w:sz w:val="26"/>
        </w:rPr>
        <w:t xml:space="preserve"> </w:t>
      </w:r>
      <w:r w:rsidR="00004CE3" w:rsidRPr="003F6C9C">
        <w:rPr>
          <w:sz w:val="26"/>
        </w:rPr>
        <w:t xml:space="preserve">1. </w:t>
      </w:r>
      <w:r w:rsidR="006D7C3D" w:rsidRPr="003F6C9C">
        <w:rPr>
          <w:sz w:val="26"/>
        </w:rPr>
        <w:t>Introduction</w:t>
      </w:r>
      <w:r w:rsidR="0029544C">
        <w:rPr>
          <w:sz w:val="26"/>
        </w:rPr>
        <w:tab/>
      </w:r>
      <w:r w:rsidR="0029544C">
        <w:rPr>
          <w:sz w:val="26"/>
        </w:rPr>
        <w:tab/>
      </w:r>
      <w:r w:rsidR="0029544C">
        <w:rPr>
          <w:sz w:val="26"/>
        </w:rPr>
        <w:tab/>
      </w:r>
      <w:r w:rsidR="0029544C">
        <w:rPr>
          <w:sz w:val="26"/>
        </w:rPr>
        <w:tab/>
      </w:r>
      <w:r w:rsidR="0029544C">
        <w:rPr>
          <w:sz w:val="26"/>
        </w:rPr>
        <w:tab/>
      </w:r>
      <w:r w:rsidR="0029544C">
        <w:rPr>
          <w:sz w:val="26"/>
        </w:rPr>
        <w:tab/>
        <w:t xml:space="preserve">  1</w:t>
      </w:r>
      <w:r w:rsidR="006D7C3D" w:rsidRPr="003F6C9C">
        <w:rPr>
          <w:sz w:val="26"/>
        </w:rPr>
        <w:t xml:space="preserve"> </w:t>
      </w:r>
    </w:p>
    <w:p w14:paraId="7591A3EE" w14:textId="77777777" w:rsidR="0055187D" w:rsidRPr="003F6C9C" w:rsidRDefault="002B0A63">
      <w:pPr>
        <w:widowControl/>
        <w:autoSpaceDE/>
        <w:autoSpaceDN/>
        <w:adjustRightInd/>
        <w:spacing w:after="200" w:line="276" w:lineRule="auto"/>
        <w:rPr>
          <w:sz w:val="26"/>
        </w:rPr>
      </w:pPr>
      <w:r w:rsidRPr="003F6C9C">
        <w:rPr>
          <w:sz w:val="26"/>
        </w:rPr>
        <w:t xml:space="preserve"> </w:t>
      </w:r>
      <w:r w:rsidR="00004CE3" w:rsidRPr="003F6C9C">
        <w:rPr>
          <w:sz w:val="26"/>
        </w:rPr>
        <w:t xml:space="preserve">2. </w:t>
      </w:r>
      <w:r w:rsidR="006D7C3D" w:rsidRPr="003F6C9C">
        <w:rPr>
          <w:sz w:val="26"/>
        </w:rPr>
        <w:t>Civil society in Ukraine</w:t>
      </w:r>
      <w:r w:rsidR="0029544C">
        <w:rPr>
          <w:sz w:val="26"/>
        </w:rPr>
        <w:tab/>
      </w:r>
      <w:r w:rsidR="0029544C">
        <w:rPr>
          <w:sz w:val="26"/>
        </w:rPr>
        <w:tab/>
      </w:r>
      <w:r w:rsidR="0029544C">
        <w:rPr>
          <w:sz w:val="26"/>
        </w:rPr>
        <w:tab/>
      </w:r>
      <w:r w:rsidR="0029544C">
        <w:rPr>
          <w:sz w:val="26"/>
        </w:rPr>
        <w:tab/>
      </w:r>
      <w:r w:rsidR="0029544C">
        <w:rPr>
          <w:sz w:val="26"/>
        </w:rPr>
        <w:tab/>
        <w:t xml:space="preserve">  2</w:t>
      </w:r>
    </w:p>
    <w:p w14:paraId="7591A3EF" w14:textId="77777777" w:rsidR="0055187D" w:rsidRPr="003F6C9C" w:rsidRDefault="002B0A63">
      <w:pPr>
        <w:widowControl/>
        <w:autoSpaceDE/>
        <w:autoSpaceDN/>
        <w:adjustRightInd/>
        <w:spacing w:after="200" w:line="276" w:lineRule="auto"/>
        <w:rPr>
          <w:sz w:val="26"/>
        </w:rPr>
      </w:pPr>
      <w:r w:rsidRPr="003F6C9C">
        <w:rPr>
          <w:sz w:val="26"/>
        </w:rPr>
        <w:t xml:space="preserve"> </w:t>
      </w:r>
      <w:r w:rsidR="00004CE3" w:rsidRPr="003F6C9C">
        <w:rPr>
          <w:sz w:val="26"/>
        </w:rPr>
        <w:t xml:space="preserve">3. </w:t>
      </w:r>
      <w:r w:rsidR="0055187D" w:rsidRPr="003F6C9C">
        <w:rPr>
          <w:sz w:val="26"/>
        </w:rPr>
        <w:t xml:space="preserve">Main </w:t>
      </w:r>
      <w:r w:rsidR="00004CE3" w:rsidRPr="003F6C9C">
        <w:rPr>
          <w:sz w:val="26"/>
        </w:rPr>
        <w:t>Achievements</w:t>
      </w:r>
      <w:r w:rsidR="0055187D" w:rsidRPr="003F6C9C">
        <w:rPr>
          <w:sz w:val="26"/>
        </w:rPr>
        <w:t xml:space="preserve"> on the planned </w:t>
      </w:r>
      <w:r w:rsidR="00004CE3" w:rsidRPr="003F6C9C">
        <w:rPr>
          <w:sz w:val="26"/>
        </w:rPr>
        <w:t>outputs</w:t>
      </w:r>
      <w:r w:rsidR="0029544C">
        <w:rPr>
          <w:sz w:val="26"/>
        </w:rPr>
        <w:tab/>
      </w:r>
      <w:r w:rsidR="0029544C">
        <w:rPr>
          <w:sz w:val="26"/>
        </w:rPr>
        <w:tab/>
      </w:r>
      <w:r w:rsidR="0029544C">
        <w:rPr>
          <w:sz w:val="26"/>
        </w:rPr>
        <w:tab/>
      </w:r>
      <w:r w:rsidR="0029544C">
        <w:rPr>
          <w:sz w:val="26"/>
        </w:rPr>
        <w:tab/>
        <w:t xml:space="preserve">  3</w:t>
      </w:r>
    </w:p>
    <w:p w14:paraId="7591A3F0" w14:textId="77777777" w:rsidR="0055187D" w:rsidRPr="003F6C9C" w:rsidRDefault="002B0A63">
      <w:pPr>
        <w:widowControl/>
        <w:autoSpaceDE/>
        <w:autoSpaceDN/>
        <w:adjustRightInd/>
        <w:spacing w:after="200" w:line="276" w:lineRule="auto"/>
        <w:rPr>
          <w:i/>
          <w:sz w:val="26"/>
        </w:rPr>
      </w:pPr>
      <w:r w:rsidRPr="003F6C9C">
        <w:rPr>
          <w:sz w:val="26"/>
        </w:rPr>
        <w:t xml:space="preserve"> </w:t>
      </w:r>
      <w:r w:rsidR="00004CE3" w:rsidRPr="003F6C9C">
        <w:rPr>
          <w:sz w:val="26"/>
        </w:rPr>
        <w:t xml:space="preserve">4. </w:t>
      </w:r>
      <w:r w:rsidR="0055187D" w:rsidRPr="003F6C9C">
        <w:rPr>
          <w:sz w:val="26"/>
        </w:rPr>
        <w:t>CSO’s advocacy</w:t>
      </w:r>
      <w:r w:rsidR="00004CE3" w:rsidRPr="003F6C9C">
        <w:rPr>
          <w:sz w:val="26"/>
        </w:rPr>
        <w:t>,</w:t>
      </w:r>
      <w:r w:rsidR="0055187D" w:rsidRPr="003F6C9C">
        <w:rPr>
          <w:sz w:val="26"/>
        </w:rPr>
        <w:t xml:space="preserve"> service delivery and capacity development</w:t>
      </w:r>
      <w:r w:rsidR="0029544C">
        <w:rPr>
          <w:sz w:val="26"/>
        </w:rPr>
        <w:tab/>
      </w:r>
      <w:r w:rsidR="0029544C">
        <w:rPr>
          <w:sz w:val="26"/>
        </w:rPr>
        <w:tab/>
      </w:r>
      <w:r w:rsidR="0029544C">
        <w:rPr>
          <w:sz w:val="26"/>
        </w:rPr>
        <w:tab/>
        <w:t xml:space="preserve">  5</w:t>
      </w:r>
    </w:p>
    <w:p w14:paraId="7591A3F1" w14:textId="77777777" w:rsidR="0055187D" w:rsidRPr="003F6C9C" w:rsidRDefault="00004CE3" w:rsidP="006B1C6A">
      <w:pPr>
        <w:widowControl/>
        <w:autoSpaceDE/>
        <w:autoSpaceDN/>
        <w:adjustRightInd/>
        <w:spacing w:after="120" w:line="276" w:lineRule="auto"/>
        <w:rPr>
          <w:i/>
          <w:sz w:val="26"/>
        </w:rPr>
      </w:pPr>
      <w:r w:rsidRPr="003F6C9C">
        <w:rPr>
          <w:i/>
          <w:sz w:val="26"/>
        </w:rPr>
        <w:tab/>
        <w:t xml:space="preserve">4.1 </w:t>
      </w:r>
      <w:r w:rsidR="0055187D" w:rsidRPr="003F6C9C">
        <w:rPr>
          <w:i/>
          <w:sz w:val="26"/>
        </w:rPr>
        <w:t>Right based approach</w:t>
      </w:r>
    </w:p>
    <w:p w14:paraId="7591A3F2" w14:textId="77777777" w:rsidR="00335311" w:rsidRDefault="00004CE3" w:rsidP="006B1C6A">
      <w:pPr>
        <w:widowControl/>
        <w:autoSpaceDE/>
        <w:autoSpaceDN/>
        <w:adjustRightInd/>
        <w:spacing w:after="120" w:line="276" w:lineRule="auto"/>
        <w:rPr>
          <w:i/>
          <w:sz w:val="26"/>
        </w:rPr>
      </w:pPr>
      <w:r w:rsidRPr="003F6C9C">
        <w:rPr>
          <w:i/>
          <w:sz w:val="26"/>
        </w:rPr>
        <w:tab/>
        <w:t>4.2 Advocacy</w:t>
      </w:r>
      <w:r w:rsidR="0055187D" w:rsidRPr="003F6C9C">
        <w:rPr>
          <w:i/>
          <w:sz w:val="26"/>
        </w:rPr>
        <w:t xml:space="preserve"> and </w:t>
      </w:r>
      <w:r w:rsidRPr="003F6C9C">
        <w:rPr>
          <w:i/>
          <w:sz w:val="26"/>
        </w:rPr>
        <w:t xml:space="preserve">networking </w:t>
      </w:r>
    </w:p>
    <w:p w14:paraId="7591A3F3" w14:textId="77777777" w:rsidR="0055187D" w:rsidRPr="003F6C9C" w:rsidRDefault="00335311" w:rsidP="006B1C6A">
      <w:pPr>
        <w:widowControl/>
        <w:autoSpaceDE/>
        <w:autoSpaceDN/>
        <w:adjustRightInd/>
        <w:spacing w:after="120" w:line="276" w:lineRule="auto"/>
        <w:rPr>
          <w:i/>
          <w:sz w:val="26"/>
        </w:rPr>
      </w:pPr>
      <w:r>
        <w:rPr>
          <w:i/>
          <w:sz w:val="26"/>
        </w:rPr>
        <w:tab/>
        <w:t>4.3 S</w:t>
      </w:r>
      <w:r w:rsidR="00004CE3" w:rsidRPr="003F6C9C">
        <w:rPr>
          <w:i/>
          <w:sz w:val="26"/>
        </w:rPr>
        <w:t>ervice</w:t>
      </w:r>
      <w:r w:rsidR="0055187D" w:rsidRPr="003F6C9C">
        <w:rPr>
          <w:i/>
          <w:sz w:val="26"/>
        </w:rPr>
        <w:t xml:space="preserve"> delivery</w:t>
      </w:r>
    </w:p>
    <w:p w14:paraId="7591A3F4" w14:textId="77777777" w:rsidR="0055187D" w:rsidRPr="003F6C9C" w:rsidRDefault="00004CE3" w:rsidP="006B1C6A">
      <w:pPr>
        <w:widowControl/>
        <w:autoSpaceDE/>
        <w:autoSpaceDN/>
        <w:adjustRightInd/>
        <w:spacing w:after="120" w:line="276" w:lineRule="auto"/>
        <w:ind w:left="1304"/>
        <w:rPr>
          <w:i/>
          <w:sz w:val="26"/>
        </w:rPr>
      </w:pPr>
      <w:r w:rsidRPr="003F6C9C">
        <w:rPr>
          <w:i/>
          <w:sz w:val="26"/>
        </w:rPr>
        <w:t>4.</w:t>
      </w:r>
      <w:r w:rsidR="00335311">
        <w:rPr>
          <w:i/>
          <w:sz w:val="26"/>
        </w:rPr>
        <w:t>4</w:t>
      </w:r>
      <w:r w:rsidRPr="003F6C9C">
        <w:rPr>
          <w:i/>
          <w:sz w:val="26"/>
        </w:rPr>
        <w:t xml:space="preserve"> </w:t>
      </w:r>
      <w:r w:rsidR="0055187D" w:rsidRPr="003F6C9C">
        <w:rPr>
          <w:i/>
          <w:sz w:val="26"/>
        </w:rPr>
        <w:t>Capacity development of Ukrainian CSOs</w:t>
      </w:r>
    </w:p>
    <w:p w14:paraId="7591A3F5" w14:textId="77777777" w:rsidR="0055187D" w:rsidRPr="003F6C9C" w:rsidRDefault="00004CE3" w:rsidP="006B1C6A">
      <w:pPr>
        <w:widowControl/>
        <w:autoSpaceDE/>
        <w:autoSpaceDN/>
        <w:adjustRightInd/>
        <w:spacing w:after="120" w:line="276" w:lineRule="auto"/>
        <w:ind w:left="1304"/>
        <w:rPr>
          <w:i/>
          <w:sz w:val="26"/>
        </w:rPr>
      </w:pPr>
      <w:r w:rsidRPr="003F6C9C">
        <w:rPr>
          <w:i/>
          <w:sz w:val="26"/>
        </w:rPr>
        <w:t>4.</w:t>
      </w:r>
      <w:r w:rsidR="00335311">
        <w:rPr>
          <w:i/>
          <w:sz w:val="26"/>
        </w:rPr>
        <w:t>5</w:t>
      </w:r>
      <w:r w:rsidR="0029544C">
        <w:rPr>
          <w:i/>
          <w:sz w:val="26"/>
        </w:rPr>
        <w:t xml:space="preserve"> </w:t>
      </w:r>
      <w:r w:rsidRPr="003F6C9C">
        <w:rPr>
          <w:i/>
          <w:sz w:val="26"/>
        </w:rPr>
        <w:t>Organisational,</w:t>
      </w:r>
      <w:r w:rsidR="0055187D" w:rsidRPr="003F6C9C">
        <w:rPr>
          <w:i/>
          <w:sz w:val="26"/>
        </w:rPr>
        <w:t xml:space="preserve"> financial sustainability and “good CSO governance”</w:t>
      </w:r>
    </w:p>
    <w:p w14:paraId="7591A3F6" w14:textId="77777777" w:rsidR="0055187D" w:rsidRPr="003F6C9C" w:rsidRDefault="002B0A63">
      <w:pPr>
        <w:widowControl/>
        <w:autoSpaceDE/>
        <w:autoSpaceDN/>
        <w:adjustRightInd/>
        <w:spacing w:after="200" w:line="276" w:lineRule="auto"/>
        <w:rPr>
          <w:sz w:val="26"/>
        </w:rPr>
      </w:pPr>
      <w:r w:rsidRPr="003F6C9C">
        <w:rPr>
          <w:sz w:val="26"/>
        </w:rPr>
        <w:t xml:space="preserve"> </w:t>
      </w:r>
      <w:r w:rsidR="00004CE3" w:rsidRPr="003F6C9C">
        <w:rPr>
          <w:sz w:val="26"/>
        </w:rPr>
        <w:t xml:space="preserve">5. </w:t>
      </w:r>
      <w:r w:rsidR="0055187D" w:rsidRPr="003F6C9C">
        <w:rPr>
          <w:sz w:val="26"/>
        </w:rPr>
        <w:t>Programme Management</w:t>
      </w:r>
      <w:r w:rsidR="0029544C">
        <w:rPr>
          <w:sz w:val="26"/>
        </w:rPr>
        <w:tab/>
      </w:r>
      <w:r w:rsidR="0029544C">
        <w:rPr>
          <w:sz w:val="26"/>
        </w:rPr>
        <w:tab/>
      </w:r>
      <w:r w:rsidR="0029544C">
        <w:rPr>
          <w:sz w:val="26"/>
        </w:rPr>
        <w:tab/>
      </w:r>
      <w:r w:rsidR="0029544C">
        <w:rPr>
          <w:sz w:val="26"/>
        </w:rPr>
        <w:tab/>
      </w:r>
      <w:r w:rsidR="0029544C">
        <w:rPr>
          <w:sz w:val="26"/>
        </w:rPr>
        <w:tab/>
        <w:t xml:space="preserve">  7</w:t>
      </w:r>
    </w:p>
    <w:p w14:paraId="7591A3F7" w14:textId="77777777" w:rsidR="0055187D" w:rsidRPr="003F6C9C" w:rsidRDefault="00004CE3" w:rsidP="006B1C6A">
      <w:pPr>
        <w:widowControl/>
        <w:autoSpaceDE/>
        <w:autoSpaceDN/>
        <w:adjustRightInd/>
        <w:spacing w:after="120" w:line="276" w:lineRule="auto"/>
        <w:ind w:left="1304"/>
        <w:rPr>
          <w:i/>
          <w:sz w:val="26"/>
        </w:rPr>
      </w:pPr>
      <w:r w:rsidRPr="003F6C9C">
        <w:rPr>
          <w:i/>
          <w:sz w:val="26"/>
        </w:rPr>
        <w:t>5.1</w:t>
      </w:r>
      <w:r w:rsidR="0029544C">
        <w:rPr>
          <w:i/>
          <w:sz w:val="26"/>
        </w:rPr>
        <w:t xml:space="preserve"> </w:t>
      </w:r>
      <w:r w:rsidR="0055187D" w:rsidRPr="003F6C9C">
        <w:rPr>
          <w:i/>
          <w:sz w:val="26"/>
        </w:rPr>
        <w:t xml:space="preserve">Budget </w:t>
      </w:r>
    </w:p>
    <w:p w14:paraId="7591A3F8" w14:textId="77777777" w:rsidR="0055187D" w:rsidRPr="003F6C9C" w:rsidRDefault="00004CE3" w:rsidP="006B1C6A">
      <w:pPr>
        <w:widowControl/>
        <w:autoSpaceDE/>
        <w:autoSpaceDN/>
        <w:adjustRightInd/>
        <w:spacing w:after="120" w:line="276" w:lineRule="auto"/>
        <w:ind w:left="1304"/>
        <w:rPr>
          <w:i/>
          <w:sz w:val="26"/>
        </w:rPr>
      </w:pPr>
      <w:r w:rsidRPr="003F6C9C">
        <w:rPr>
          <w:i/>
          <w:sz w:val="26"/>
        </w:rPr>
        <w:t xml:space="preserve">5.2 </w:t>
      </w:r>
      <w:r w:rsidR="0055187D" w:rsidRPr="003F6C9C">
        <w:rPr>
          <w:i/>
          <w:sz w:val="26"/>
        </w:rPr>
        <w:t xml:space="preserve">The relation between physical and financial </w:t>
      </w:r>
      <w:r w:rsidRPr="003F6C9C">
        <w:rPr>
          <w:i/>
          <w:sz w:val="26"/>
        </w:rPr>
        <w:t>progress</w:t>
      </w:r>
    </w:p>
    <w:p w14:paraId="7591A3F9" w14:textId="77777777" w:rsidR="0055187D" w:rsidRPr="003F6C9C" w:rsidRDefault="002B0A63">
      <w:pPr>
        <w:widowControl/>
        <w:autoSpaceDE/>
        <w:autoSpaceDN/>
        <w:adjustRightInd/>
        <w:spacing w:after="200" w:line="276" w:lineRule="auto"/>
        <w:rPr>
          <w:sz w:val="26"/>
        </w:rPr>
      </w:pPr>
      <w:r w:rsidRPr="003F6C9C">
        <w:rPr>
          <w:sz w:val="26"/>
        </w:rPr>
        <w:t xml:space="preserve"> </w:t>
      </w:r>
      <w:r w:rsidR="00004CE3" w:rsidRPr="003F6C9C">
        <w:rPr>
          <w:sz w:val="26"/>
        </w:rPr>
        <w:t xml:space="preserve">6.  </w:t>
      </w:r>
      <w:r w:rsidR="0055187D" w:rsidRPr="003F6C9C">
        <w:rPr>
          <w:sz w:val="26"/>
        </w:rPr>
        <w:t xml:space="preserve">Vulnerable target groups and poverty orientation </w:t>
      </w:r>
      <w:r w:rsidR="0029544C">
        <w:rPr>
          <w:sz w:val="26"/>
        </w:rPr>
        <w:tab/>
      </w:r>
      <w:r w:rsidR="0029544C">
        <w:rPr>
          <w:sz w:val="26"/>
        </w:rPr>
        <w:tab/>
      </w:r>
      <w:r w:rsidR="0029544C">
        <w:rPr>
          <w:sz w:val="26"/>
        </w:rPr>
        <w:tab/>
        <w:t xml:space="preserve">  8</w:t>
      </w:r>
    </w:p>
    <w:p w14:paraId="7591A3FA" w14:textId="77777777" w:rsidR="0055187D" w:rsidRPr="003F6C9C" w:rsidRDefault="002B0A63">
      <w:pPr>
        <w:widowControl/>
        <w:autoSpaceDE/>
        <w:autoSpaceDN/>
        <w:adjustRightInd/>
        <w:spacing w:after="200" w:line="276" w:lineRule="auto"/>
        <w:rPr>
          <w:sz w:val="26"/>
        </w:rPr>
      </w:pPr>
      <w:r w:rsidRPr="003F6C9C">
        <w:rPr>
          <w:sz w:val="26"/>
        </w:rPr>
        <w:t xml:space="preserve"> </w:t>
      </w:r>
      <w:r w:rsidR="00004CE3" w:rsidRPr="003F6C9C">
        <w:rPr>
          <w:sz w:val="26"/>
        </w:rPr>
        <w:t xml:space="preserve">7. </w:t>
      </w:r>
      <w:r w:rsidR="0055187D" w:rsidRPr="003F6C9C">
        <w:rPr>
          <w:sz w:val="26"/>
        </w:rPr>
        <w:t xml:space="preserve">Considerations of gender and environmental </w:t>
      </w:r>
      <w:r w:rsidR="00004CE3" w:rsidRPr="003F6C9C">
        <w:rPr>
          <w:sz w:val="26"/>
        </w:rPr>
        <w:t>issues</w:t>
      </w:r>
      <w:r w:rsidR="0029544C">
        <w:rPr>
          <w:sz w:val="26"/>
        </w:rPr>
        <w:tab/>
      </w:r>
      <w:r w:rsidR="0029544C">
        <w:rPr>
          <w:sz w:val="26"/>
        </w:rPr>
        <w:tab/>
      </w:r>
      <w:r w:rsidR="0029544C">
        <w:rPr>
          <w:sz w:val="26"/>
        </w:rPr>
        <w:tab/>
        <w:t xml:space="preserve">  9</w:t>
      </w:r>
    </w:p>
    <w:p w14:paraId="7591A3FB" w14:textId="77777777" w:rsidR="0055187D" w:rsidRPr="003F6C9C" w:rsidRDefault="002B0A63">
      <w:pPr>
        <w:widowControl/>
        <w:autoSpaceDE/>
        <w:autoSpaceDN/>
        <w:adjustRightInd/>
        <w:spacing w:after="200" w:line="276" w:lineRule="auto"/>
        <w:rPr>
          <w:sz w:val="26"/>
        </w:rPr>
      </w:pPr>
      <w:r w:rsidRPr="003F6C9C">
        <w:rPr>
          <w:sz w:val="26"/>
        </w:rPr>
        <w:t xml:space="preserve"> </w:t>
      </w:r>
      <w:r w:rsidR="00004CE3" w:rsidRPr="003F6C9C">
        <w:rPr>
          <w:sz w:val="26"/>
        </w:rPr>
        <w:t xml:space="preserve">8. </w:t>
      </w:r>
      <w:r w:rsidR="0055187D" w:rsidRPr="003F6C9C">
        <w:rPr>
          <w:sz w:val="26"/>
        </w:rPr>
        <w:t>Assumptions and risks</w:t>
      </w:r>
      <w:r w:rsidR="0029544C">
        <w:rPr>
          <w:sz w:val="26"/>
        </w:rPr>
        <w:tab/>
      </w:r>
      <w:r w:rsidR="0029544C">
        <w:rPr>
          <w:sz w:val="26"/>
        </w:rPr>
        <w:tab/>
      </w:r>
      <w:r w:rsidR="0029544C">
        <w:rPr>
          <w:sz w:val="26"/>
        </w:rPr>
        <w:tab/>
      </w:r>
      <w:r w:rsidR="0029544C">
        <w:rPr>
          <w:sz w:val="26"/>
        </w:rPr>
        <w:tab/>
      </w:r>
      <w:r w:rsidR="0029544C">
        <w:rPr>
          <w:sz w:val="26"/>
        </w:rPr>
        <w:tab/>
      </w:r>
      <w:r w:rsidR="0029544C">
        <w:rPr>
          <w:sz w:val="26"/>
        </w:rPr>
        <w:tab/>
        <w:t xml:space="preserve">  9</w:t>
      </w:r>
    </w:p>
    <w:p w14:paraId="7591A3FC" w14:textId="77777777" w:rsidR="0055187D" w:rsidRPr="003F6C9C" w:rsidRDefault="002B0A63">
      <w:pPr>
        <w:widowControl/>
        <w:autoSpaceDE/>
        <w:autoSpaceDN/>
        <w:adjustRightInd/>
        <w:spacing w:after="200" w:line="276" w:lineRule="auto"/>
        <w:rPr>
          <w:sz w:val="26"/>
        </w:rPr>
      </w:pPr>
      <w:r w:rsidRPr="003F6C9C">
        <w:rPr>
          <w:sz w:val="26"/>
        </w:rPr>
        <w:t xml:space="preserve"> </w:t>
      </w:r>
      <w:r w:rsidR="00004CE3" w:rsidRPr="003F6C9C">
        <w:rPr>
          <w:sz w:val="26"/>
        </w:rPr>
        <w:t>9. S</w:t>
      </w:r>
      <w:r w:rsidR="0055187D" w:rsidRPr="003F6C9C">
        <w:rPr>
          <w:sz w:val="26"/>
        </w:rPr>
        <w:t>trategic and aid effectiveness considerations</w:t>
      </w:r>
      <w:r w:rsidR="0029544C">
        <w:rPr>
          <w:sz w:val="26"/>
        </w:rPr>
        <w:tab/>
      </w:r>
      <w:r w:rsidR="0029544C">
        <w:rPr>
          <w:sz w:val="26"/>
        </w:rPr>
        <w:tab/>
      </w:r>
      <w:r w:rsidR="0029544C">
        <w:rPr>
          <w:sz w:val="26"/>
        </w:rPr>
        <w:tab/>
      </w:r>
      <w:r w:rsidR="0029544C">
        <w:rPr>
          <w:sz w:val="26"/>
        </w:rPr>
        <w:tab/>
        <w:t>10</w:t>
      </w:r>
    </w:p>
    <w:p w14:paraId="7591A3FD" w14:textId="77777777" w:rsidR="0055187D" w:rsidRPr="003F6C9C" w:rsidRDefault="00004CE3">
      <w:pPr>
        <w:widowControl/>
        <w:autoSpaceDE/>
        <w:autoSpaceDN/>
        <w:adjustRightInd/>
        <w:spacing w:after="200" w:line="276" w:lineRule="auto"/>
        <w:rPr>
          <w:sz w:val="26"/>
        </w:rPr>
      </w:pPr>
      <w:r w:rsidRPr="003F6C9C">
        <w:rPr>
          <w:sz w:val="26"/>
        </w:rPr>
        <w:t xml:space="preserve">10. </w:t>
      </w:r>
      <w:r w:rsidR="0055187D" w:rsidRPr="003F6C9C">
        <w:rPr>
          <w:sz w:val="26"/>
        </w:rPr>
        <w:t>Considerations of future support</w:t>
      </w:r>
      <w:r w:rsidR="0029544C">
        <w:rPr>
          <w:sz w:val="26"/>
        </w:rPr>
        <w:tab/>
      </w:r>
      <w:r w:rsidR="0029544C">
        <w:rPr>
          <w:sz w:val="26"/>
        </w:rPr>
        <w:tab/>
      </w:r>
      <w:r w:rsidR="0029544C">
        <w:rPr>
          <w:sz w:val="26"/>
        </w:rPr>
        <w:tab/>
      </w:r>
      <w:r w:rsidR="0029544C">
        <w:rPr>
          <w:sz w:val="26"/>
        </w:rPr>
        <w:tab/>
      </w:r>
      <w:r w:rsidR="0029544C">
        <w:rPr>
          <w:sz w:val="26"/>
        </w:rPr>
        <w:tab/>
        <w:t>11</w:t>
      </w:r>
    </w:p>
    <w:p w14:paraId="7591A3FE" w14:textId="77777777" w:rsidR="0055187D" w:rsidRDefault="00004CE3">
      <w:pPr>
        <w:widowControl/>
        <w:autoSpaceDE/>
        <w:autoSpaceDN/>
        <w:adjustRightInd/>
        <w:spacing w:after="200" w:line="276" w:lineRule="auto"/>
        <w:rPr>
          <w:sz w:val="26"/>
        </w:rPr>
      </w:pPr>
      <w:r w:rsidRPr="003F6C9C">
        <w:rPr>
          <w:sz w:val="26"/>
        </w:rPr>
        <w:t>11. Suggestions for activities to be undertaken the next nine months</w:t>
      </w:r>
      <w:r w:rsidR="0055187D" w:rsidRPr="003F6C9C">
        <w:rPr>
          <w:sz w:val="26"/>
        </w:rPr>
        <w:t xml:space="preserve"> </w:t>
      </w:r>
      <w:r w:rsidR="0029544C">
        <w:rPr>
          <w:sz w:val="26"/>
        </w:rPr>
        <w:tab/>
      </w:r>
      <w:r w:rsidR="0029544C">
        <w:rPr>
          <w:sz w:val="26"/>
        </w:rPr>
        <w:tab/>
        <w:t>13</w:t>
      </w:r>
    </w:p>
    <w:p w14:paraId="7591A3FF" w14:textId="77777777" w:rsidR="00F50983" w:rsidRDefault="00F50983">
      <w:pPr>
        <w:widowControl/>
        <w:autoSpaceDE/>
        <w:autoSpaceDN/>
        <w:adjustRightInd/>
        <w:spacing w:after="200" w:line="276" w:lineRule="auto"/>
        <w:rPr>
          <w:sz w:val="26"/>
        </w:rPr>
      </w:pPr>
    </w:p>
    <w:p w14:paraId="7591A400" w14:textId="77777777" w:rsidR="00F50983" w:rsidRDefault="00F50983">
      <w:pPr>
        <w:widowControl/>
        <w:autoSpaceDE/>
        <w:autoSpaceDN/>
        <w:adjustRightInd/>
        <w:spacing w:after="200" w:line="276" w:lineRule="auto"/>
        <w:rPr>
          <w:sz w:val="26"/>
        </w:rPr>
      </w:pPr>
      <w:r>
        <w:rPr>
          <w:sz w:val="26"/>
        </w:rPr>
        <w:t>Annex 1</w:t>
      </w:r>
      <w:r w:rsidR="00F113A4">
        <w:rPr>
          <w:sz w:val="26"/>
        </w:rPr>
        <w:t xml:space="preserve">: </w:t>
      </w:r>
      <w:r>
        <w:rPr>
          <w:sz w:val="26"/>
        </w:rPr>
        <w:t xml:space="preserve"> </w:t>
      </w:r>
      <w:r w:rsidR="00F113A4">
        <w:rPr>
          <w:sz w:val="26"/>
        </w:rPr>
        <w:t>Terms of Reference</w:t>
      </w:r>
    </w:p>
    <w:p w14:paraId="7591A401" w14:textId="77777777" w:rsidR="00F113A4" w:rsidRPr="003F6C9C" w:rsidRDefault="00F113A4">
      <w:pPr>
        <w:widowControl/>
        <w:autoSpaceDE/>
        <w:autoSpaceDN/>
        <w:adjustRightInd/>
        <w:spacing w:after="200" w:line="276" w:lineRule="auto"/>
        <w:rPr>
          <w:sz w:val="26"/>
        </w:rPr>
      </w:pPr>
      <w:r>
        <w:rPr>
          <w:sz w:val="26"/>
        </w:rPr>
        <w:t xml:space="preserve">Annex 2:  </w:t>
      </w:r>
      <w:r w:rsidRPr="00F113A4">
        <w:rPr>
          <w:sz w:val="26"/>
        </w:rPr>
        <w:t xml:space="preserve">List of </w:t>
      </w:r>
      <w:r>
        <w:rPr>
          <w:sz w:val="26"/>
        </w:rPr>
        <w:t>P</w:t>
      </w:r>
      <w:r w:rsidRPr="00F113A4">
        <w:rPr>
          <w:sz w:val="26"/>
        </w:rPr>
        <w:t xml:space="preserve">ersons </w:t>
      </w:r>
      <w:r>
        <w:rPr>
          <w:sz w:val="26"/>
        </w:rPr>
        <w:t>M</w:t>
      </w:r>
      <w:r w:rsidRPr="00F113A4">
        <w:rPr>
          <w:sz w:val="26"/>
        </w:rPr>
        <w:t>et in Ukraine</w:t>
      </w:r>
    </w:p>
    <w:p w14:paraId="7591A402" w14:textId="77777777" w:rsidR="009C5865" w:rsidRPr="003F6C9C" w:rsidRDefault="009C5865">
      <w:pPr>
        <w:widowControl/>
        <w:autoSpaceDE/>
        <w:autoSpaceDN/>
        <w:adjustRightInd/>
        <w:spacing w:after="200" w:line="276" w:lineRule="auto"/>
        <w:rPr>
          <w:sz w:val="26"/>
        </w:rPr>
      </w:pPr>
      <w:r w:rsidRPr="003F6C9C">
        <w:rPr>
          <w:sz w:val="26"/>
        </w:rPr>
        <w:br w:type="page"/>
      </w:r>
    </w:p>
    <w:p w14:paraId="7591A403" w14:textId="77777777" w:rsidR="003F6C9C" w:rsidRPr="003356DC" w:rsidRDefault="003F6C9C" w:rsidP="003F6C9C">
      <w:pPr>
        <w:rPr>
          <w:b/>
          <w:sz w:val="28"/>
          <w:szCs w:val="28"/>
        </w:rPr>
      </w:pPr>
      <w:r w:rsidRPr="003356DC">
        <w:rPr>
          <w:b/>
          <w:sz w:val="28"/>
          <w:szCs w:val="28"/>
        </w:rPr>
        <w:lastRenderedPageBreak/>
        <w:t>Acronyms and Abbreviations</w:t>
      </w:r>
    </w:p>
    <w:p w14:paraId="7591A404" w14:textId="77777777" w:rsidR="003F6C9C" w:rsidRDefault="003F6C9C" w:rsidP="003F6C9C">
      <w:pPr>
        <w:rPr>
          <w:sz w:val="26"/>
          <w:szCs w:val="26"/>
        </w:rPr>
      </w:pPr>
    </w:p>
    <w:p w14:paraId="7591A405" w14:textId="77777777" w:rsidR="003F6C9C" w:rsidRPr="00987F22" w:rsidRDefault="003F6C9C" w:rsidP="003F6C9C">
      <w:pPr>
        <w:rPr>
          <w:sz w:val="26"/>
          <w:szCs w:val="26"/>
        </w:rPr>
      </w:pPr>
      <w:r w:rsidRPr="007951D1">
        <w:rPr>
          <w:sz w:val="26"/>
          <w:szCs w:val="26"/>
        </w:rPr>
        <w:t>AAA</w:t>
      </w:r>
      <w:r>
        <w:rPr>
          <w:sz w:val="26"/>
          <w:szCs w:val="26"/>
        </w:rPr>
        <w:tab/>
      </w:r>
      <w:r>
        <w:rPr>
          <w:sz w:val="26"/>
          <w:szCs w:val="26"/>
        </w:rPr>
        <w:tab/>
      </w:r>
      <w:smartTag w:uri="urn:schemas-microsoft-com:office:smarttags" w:element="City">
        <w:smartTag w:uri="urn:schemas-microsoft-com:office:smarttags" w:element="place">
          <w:r w:rsidRPr="00987F22">
            <w:rPr>
              <w:sz w:val="26"/>
              <w:szCs w:val="26"/>
            </w:rPr>
            <w:t>Accra</w:t>
          </w:r>
        </w:smartTag>
      </w:smartTag>
      <w:r w:rsidRPr="00987F22">
        <w:rPr>
          <w:sz w:val="26"/>
          <w:szCs w:val="26"/>
        </w:rPr>
        <w:t xml:space="preserve"> Agenda for Action (AAA</w:t>
      </w:r>
      <w:r>
        <w:rPr>
          <w:sz w:val="26"/>
          <w:szCs w:val="26"/>
        </w:rPr>
        <w:t>)</w:t>
      </w:r>
    </w:p>
    <w:p w14:paraId="7591A406" w14:textId="77777777" w:rsidR="003F6C9C" w:rsidRPr="003356DC" w:rsidRDefault="003F6C9C" w:rsidP="003F6C9C">
      <w:pPr>
        <w:rPr>
          <w:sz w:val="26"/>
          <w:szCs w:val="26"/>
        </w:rPr>
      </w:pPr>
      <w:r w:rsidRPr="003356DC">
        <w:rPr>
          <w:sz w:val="26"/>
          <w:szCs w:val="26"/>
        </w:rPr>
        <w:t xml:space="preserve">CBOs </w:t>
      </w:r>
      <w:r>
        <w:rPr>
          <w:sz w:val="26"/>
          <w:szCs w:val="26"/>
        </w:rPr>
        <w:tab/>
      </w:r>
      <w:r>
        <w:rPr>
          <w:sz w:val="26"/>
          <w:szCs w:val="26"/>
        </w:rPr>
        <w:tab/>
      </w:r>
      <w:r w:rsidRPr="003356DC">
        <w:rPr>
          <w:sz w:val="26"/>
          <w:szCs w:val="26"/>
        </w:rPr>
        <w:t>Community based organisations</w:t>
      </w:r>
    </w:p>
    <w:p w14:paraId="7591A407" w14:textId="77777777" w:rsidR="003F6C9C" w:rsidRPr="003356DC" w:rsidRDefault="003F6C9C" w:rsidP="003F6C9C">
      <w:pPr>
        <w:rPr>
          <w:sz w:val="26"/>
          <w:szCs w:val="26"/>
        </w:rPr>
      </w:pPr>
      <w:r w:rsidRPr="003356DC">
        <w:rPr>
          <w:sz w:val="26"/>
          <w:szCs w:val="26"/>
        </w:rPr>
        <w:t>CCC</w:t>
      </w:r>
      <w:r>
        <w:rPr>
          <w:sz w:val="26"/>
          <w:szCs w:val="26"/>
        </w:rPr>
        <w:tab/>
      </w:r>
      <w:r>
        <w:rPr>
          <w:sz w:val="26"/>
          <w:szCs w:val="26"/>
        </w:rPr>
        <w:tab/>
      </w:r>
      <w:r w:rsidRPr="003356DC">
        <w:rPr>
          <w:sz w:val="26"/>
          <w:szCs w:val="26"/>
        </w:rPr>
        <w:t>Counterpart Creative Centre</w:t>
      </w:r>
    </w:p>
    <w:p w14:paraId="7591A408" w14:textId="77777777" w:rsidR="003F6C9C" w:rsidRPr="003356DC" w:rsidRDefault="003F6C9C" w:rsidP="003F6C9C">
      <w:pPr>
        <w:rPr>
          <w:sz w:val="26"/>
          <w:szCs w:val="26"/>
        </w:rPr>
      </w:pPr>
      <w:r w:rsidRPr="003356DC">
        <w:rPr>
          <w:sz w:val="26"/>
          <w:szCs w:val="26"/>
        </w:rPr>
        <w:t>CIDA</w:t>
      </w:r>
      <w:r>
        <w:rPr>
          <w:sz w:val="26"/>
          <w:szCs w:val="26"/>
        </w:rPr>
        <w:tab/>
      </w:r>
      <w:r>
        <w:rPr>
          <w:sz w:val="26"/>
          <w:szCs w:val="26"/>
        </w:rPr>
        <w:tab/>
      </w:r>
      <w:r w:rsidRPr="003356DC">
        <w:rPr>
          <w:sz w:val="26"/>
          <w:szCs w:val="26"/>
        </w:rPr>
        <w:t>Canadian International Development Agency</w:t>
      </w:r>
    </w:p>
    <w:p w14:paraId="7591A409" w14:textId="77777777" w:rsidR="003F6C9C" w:rsidRPr="003356DC" w:rsidRDefault="003F6C9C" w:rsidP="003F6C9C">
      <w:pPr>
        <w:rPr>
          <w:sz w:val="26"/>
          <w:szCs w:val="26"/>
        </w:rPr>
      </w:pPr>
      <w:r w:rsidRPr="003356DC">
        <w:rPr>
          <w:sz w:val="26"/>
          <w:szCs w:val="26"/>
        </w:rPr>
        <w:t>CoE</w:t>
      </w:r>
      <w:r>
        <w:rPr>
          <w:sz w:val="26"/>
          <w:szCs w:val="26"/>
        </w:rPr>
        <w:tab/>
      </w:r>
      <w:r>
        <w:rPr>
          <w:sz w:val="26"/>
          <w:szCs w:val="26"/>
        </w:rPr>
        <w:tab/>
      </w:r>
      <w:r w:rsidRPr="003356DC">
        <w:rPr>
          <w:sz w:val="26"/>
          <w:szCs w:val="26"/>
        </w:rPr>
        <w:t xml:space="preserve">Council of </w:t>
      </w:r>
      <w:smartTag w:uri="urn:schemas-microsoft-com:office:smarttags" w:element="place">
        <w:r w:rsidRPr="003356DC">
          <w:rPr>
            <w:sz w:val="26"/>
            <w:szCs w:val="26"/>
          </w:rPr>
          <w:t>Europe</w:t>
        </w:r>
      </w:smartTag>
    </w:p>
    <w:p w14:paraId="7591A40A" w14:textId="77777777" w:rsidR="003F6C9C" w:rsidRPr="003356DC" w:rsidRDefault="003F6C9C" w:rsidP="003F6C9C">
      <w:pPr>
        <w:rPr>
          <w:sz w:val="26"/>
          <w:szCs w:val="26"/>
        </w:rPr>
      </w:pPr>
      <w:r>
        <w:rPr>
          <w:sz w:val="26"/>
          <w:szCs w:val="26"/>
        </w:rPr>
        <w:t>C</w:t>
      </w:r>
      <w:r w:rsidRPr="003356DC">
        <w:rPr>
          <w:sz w:val="26"/>
          <w:szCs w:val="26"/>
        </w:rPr>
        <w:t>IS</w:t>
      </w:r>
      <w:r>
        <w:rPr>
          <w:sz w:val="26"/>
          <w:szCs w:val="26"/>
        </w:rPr>
        <w:tab/>
      </w:r>
      <w:r>
        <w:rPr>
          <w:sz w:val="26"/>
          <w:szCs w:val="26"/>
        </w:rPr>
        <w:tab/>
      </w:r>
      <w:r w:rsidRPr="003356DC">
        <w:rPr>
          <w:sz w:val="26"/>
          <w:szCs w:val="26"/>
        </w:rPr>
        <w:t>Commonwealth of Independent States</w:t>
      </w:r>
    </w:p>
    <w:p w14:paraId="7591A40B" w14:textId="77777777" w:rsidR="003F6C9C" w:rsidRPr="003356DC" w:rsidRDefault="003F6C9C" w:rsidP="003F6C9C">
      <w:pPr>
        <w:rPr>
          <w:sz w:val="26"/>
          <w:szCs w:val="26"/>
        </w:rPr>
      </w:pPr>
      <w:r w:rsidRPr="003356DC">
        <w:rPr>
          <w:sz w:val="26"/>
          <w:szCs w:val="26"/>
        </w:rPr>
        <w:t>CMU</w:t>
      </w:r>
      <w:r>
        <w:rPr>
          <w:sz w:val="26"/>
          <w:szCs w:val="26"/>
        </w:rPr>
        <w:tab/>
      </w:r>
      <w:r>
        <w:rPr>
          <w:sz w:val="26"/>
          <w:szCs w:val="26"/>
        </w:rPr>
        <w:tab/>
      </w:r>
      <w:r w:rsidRPr="003356DC">
        <w:rPr>
          <w:sz w:val="26"/>
          <w:szCs w:val="26"/>
        </w:rPr>
        <w:t xml:space="preserve">Cabinet of </w:t>
      </w:r>
      <w:r>
        <w:rPr>
          <w:sz w:val="26"/>
          <w:szCs w:val="26"/>
        </w:rPr>
        <w:t>M</w:t>
      </w:r>
      <w:r w:rsidRPr="003356DC">
        <w:rPr>
          <w:sz w:val="26"/>
          <w:szCs w:val="26"/>
        </w:rPr>
        <w:t xml:space="preserve">inisters of </w:t>
      </w:r>
      <w:smartTag w:uri="urn:schemas-microsoft-com:office:smarttags" w:element="country-region">
        <w:smartTag w:uri="urn:schemas-microsoft-com:office:smarttags" w:element="place">
          <w:r w:rsidRPr="003356DC">
            <w:rPr>
              <w:sz w:val="26"/>
              <w:szCs w:val="26"/>
            </w:rPr>
            <w:t>Ukraine</w:t>
          </w:r>
        </w:smartTag>
      </w:smartTag>
    </w:p>
    <w:p w14:paraId="7591A40C" w14:textId="77777777" w:rsidR="003F6C9C" w:rsidRDefault="003F6C9C" w:rsidP="003F6C9C">
      <w:pPr>
        <w:rPr>
          <w:sz w:val="26"/>
          <w:szCs w:val="26"/>
        </w:rPr>
      </w:pPr>
      <w:r>
        <w:rPr>
          <w:sz w:val="26"/>
          <w:szCs w:val="26"/>
        </w:rPr>
        <w:t>CoE</w:t>
      </w:r>
      <w:r>
        <w:rPr>
          <w:sz w:val="26"/>
          <w:szCs w:val="26"/>
        </w:rPr>
        <w:tab/>
      </w:r>
      <w:r>
        <w:rPr>
          <w:sz w:val="26"/>
          <w:szCs w:val="26"/>
        </w:rPr>
        <w:tab/>
        <w:t xml:space="preserve">Council of </w:t>
      </w:r>
      <w:smartTag w:uri="urn:schemas-microsoft-com:office:smarttags" w:element="place">
        <w:r>
          <w:rPr>
            <w:sz w:val="26"/>
            <w:szCs w:val="26"/>
          </w:rPr>
          <w:t>Europe</w:t>
        </w:r>
      </w:smartTag>
    </w:p>
    <w:p w14:paraId="7591A40D" w14:textId="77777777" w:rsidR="003F6C9C" w:rsidRDefault="003F6C9C" w:rsidP="003F6C9C">
      <w:pPr>
        <w:rPr>
          <w:sz w:val="26"/>
          <w:szCs w:val="26"/>
        </w:rPr>
      </w:pPr>
      <w:r>
        <w:rPr>
          <w:sz w:val="26"/>
          <w:szCs w:val="26"/>
        </w:rPr>
        <w:t>CSDP</w:t>
      </w:r>
      <w:r>
        <w:rPr>
          <w:sz w:val="26"/>
          <w:szCs w:val="26"/>
        </w:rPr>
        <w:tab/>
      </w:r>
      <w:r>
        <w:rPr>
          <w:sz w:val="26"/>
          <w:szCs w:val="26"/>
        </w:rPr>
        <w:tab/>
        <w:t>Civil Society Development Programme</w:t>
      </w:r>
    </w:p>
    <w:p w14:paraId="7591A40E" w14:textId="77777777" w:rsidR="003F6C9C" w:rsidRPr="003356DC" w:rsidRDefault="003F6C9C" w:rsidP="003F6C9C">
      <w:pPr>
        <w:rPr>
          <w:sz w:val="26"/>
          <w:szCs w:val="26"/>
        </w:rPr>
      </w:pPr>
      <w:r w:rsidRPr="003356DC">
        <w:rPr>
          <w:sz w:val="26"/>
          <w:szCs w:val="26"/>
        </w:rPr>
        <w:t>CSOs</w:t>
      </w:r>
      <w:r>
        <w:rPr>
          <w:sz w:val="26"/>
          <w:szCs w:val="26"/>
        </w:rPr>
        <w:tab/>
      </w:r>
      <w:r>
        <w:rPr>
          <w:sz w:val="26"/>
          <w:szCs w:val="26"/>
        </w:rPr>
        <w:tab/>
      </w:r>
      <w:r w:rsidRPr="003356DC">
        <w:rPr>
          <w:sz w:val="26"/>
          <w:szCs w:val="26"/>
        </w:rPr>
        <w:t>Civil Society Organisations</w:t>
      </w:r>
    </w:p>
    <w:p w14:paraId="7591A40F" w14:textId="77777777" w:rsidR="003F6C9C" w:rsidRPr="003356DC" w:rsidRDefault="003F6C9C" w:rsidP="003F6C9C">
      <w:pPr>
        <w:rPr>
          <w:sz w:val="26"/>
          <w:szCs w:val="26"/>
        </w:rPr>
      </w:pPr>
      <w:r w:rsidRPr="003356DC">
        <w:rPr>
          <w:sz w:val="26"/>
          <w:szCs w:val="26"/>
        </w:rPr>
        <w:t>DMFA</w:t>
      </w:r>
      <w:r>
        <w:rPr>
          <w:sz w:val="26"/>
          <w:szCs w:val="26"/>
        </w:rPr>
        <w:tab/>
      </w:r>
      <w:r>
        <w:rPr>
          <w:sz w:val="26"/>
          <w:szCs w:val="26"/>
        </w:rPr>
        <w:tab/>
      </w:r>
      <w:r w:rsidRPr="003356DC">
        <w:rPr>
          <w:sz w:val="26"/>
          <w:szCs w:val="26"/>
        </w:rPr>
        <w:t>Danish Ministry of Foreign Affairs</w:t>
      </w:r>
    </w:p>
    <w:p w14:paraId="7591A410" w14:textId="77777777" w:rsidR="003F6C9C" w:rsidRDefault="003F6C9C" w:rsidP="003F6C9C">
      <w:pPr>
        <w:rPr>
          <w:sz w:val="26"/>
          <w:szCs w:val="26"/>
        </w:rPr>
      </w:pPr>
      <w:r>
        <w:rPr>
          <w:sz w:val="26"/>
          <w:szCs w:val="26"/>
        </w:rPr>
        <w:t>DIHR</w:t>
      </w:r>
      <w:r>
        <w:rPr>
          <w:sz w:val="26"/>
          <w:szCs w:val="26"/>
        </w:rPr>
        <w:tab/>
      </w:r>
      <w:r>
        <w:rPr>
          <w:sz w:val="26"/>
          <w:szCs w:val="26"/>
        </w:rPr>
        <w:tab/>
        <w:t>Danish Institute of Human Rights</w:t>
      </w:r>
    </w:p>
    <w:p w14:paraId="7591A411" w14:textId="77777777" w:rsidR="003F6C9C" w:rsidRPr="00987F22" w:rsidRDefault="003F6C9C" w:rsidP="003F6C9C">
      <w:pPr>
        <w:rPr>
          <w:sz w:val="26"/>
          <w:szCs w:val="26"/>
        </w:rPr>
      </w:pPr>
      <w:r w:rsidRPr="007951D1">
        <w:rPr>
          <w:sz w:val="26"/>
          <w:szCs w:val="26"/>
        </w:rPr>
        <w:t>EIU</w:t>
      </w:r>
      <w:r w:rsidRPr="00987F22">
        <w:t xml:space="preserve"> </w:t>
      </w:r>
      <w:r>
        <w:tab/>
      </w:r>
      <w:r>
        <w:tab/>
      </w:r>
      <w:r w:rsidRPr="00987F22">
        <w:rPr>
          <w:sz w:val="26"/>
          <w:szCs w:val="26"/>
        </w:rPr>
        <w:t>Economist Intelligence Unit's</w:t>
      </w:r>
    </w:p>
    <w:p w14:paraId="7591A412" w14:textId="77777777" w:rsidR="003F6C9C" w:rsidRPr="003356DC" w:rsidRDefault="003F6C9C" w:rsidP="003F6C9C">
      <w:pPr>
        <w:rPr>
          <w:sz w:val="26"/>
          <w:szCs w:val="26"/>
        </w:rPr>
      </w:pPr>
      <w:r w:rsidRPr="003356DC">
        <w:rPr>
          <w:sz w:val="26"/>
          <w:szCs w:val="26"/>
        </w:rPr>
        <w:t>ENPI</w:t>
      </w:r>
      <w:r>
        <w:rPr>
          <w:sz w:val="26"/>
          <w:szCs w:val="26"/>
        </w:rPr>
        <w:tab/>
      </w:r>
      <w:r>
        <w:rPr>
          <w:sz w:val="26"/>
          <w:szCs w:val="26"/>
        </w:rPr>
        <w:tab/>
      </w:r>
      <w:r w:rsidRPr="003356DC">
        <w:rPr>
          <w:sz w:val="26"/>
          <w:szCs w:val="26"/>
        </w:rPr>
        <w:t>European Neighbourhood and Partnership Instrument</w:t>
      </w:r>
      <w:r>
        <w:rPr>
          <w:sz w:val="26"/>
          <w:szCs w:val="26"/>
        </w:rPr>
        <w:t xml:space="preserve"> (EC)</w:t>
      </w:r>
    </w:p>
    <w:p w14:paraId="7591A413" w14:textId="77777777" w:rsidR="003F6C9C" w:rsidRPr="003356DC" w:rsidRDefault="003F6C9C" w:rsidP="003F6C9C">
      <w:pPr>
        <w:rPr>
          <w:sz w:val="26"/>
          <w:szCs w:val="26"/>
        </w:rPr>
      </w:pPr>
      <w:r w:rsidRPr="003356DC">
        <w:rPr>
          <w:sz w:val="26"/>
          <w:szCs w:val="26"/>
        </w:rPr>
        <w:t>EIDHR</w:t>
      </w:r>
      <w:r>
        <w:rPr>
          <w:sz w:val="26"/>
          <w:szCs w:val="26"/>
        </w:rPr>
        <w:tab/>
      </w:r>
      <w:r>
        <w:rPr>
          <w:sz w:val="26"/>
          <w:szCs w:val="26"/>
        </w:rPr>
        <w:tab/>
      </w:r>
      <w:r w:rsidRPr="003356DC">
        <w:rPr>
          <w:sz w:val="26"/>
          <w:szCs w:val="26"/>
        </w:rPr>
        <w:t>European Instrument for Democracy and Human Rights</w:t>
      </w:r>
      <w:r>
        <w:rPr>
          <w:sz w:val="26"/>
          <w:szCs w:val="26"/>
        </w:rPr>
        <w:t xml:space="preserve"> (EC)</w:t>
      </w:r>
    </w:p>
    <w:p w14:paraId="7591A414" w14:textId="77777777" w:rsidR="003F6C9C" w:rsidRDefault="003F6C9C" w:rsidP="003F6C9C">
      <w:pPr>
        <w:rPr>
          <w:sz w:val="26"/>
          <w:szCs w:val="26"/>
        </w:rPr>
      </w:pPr>
      <w:r>
        <w:rPr>
          <w:sz w:val="26"/>
          <w:szCs w:val="26"/>
        </w:rPr>
        <w:t>EC</w:t>
      </w:r>
      <w:r>
        <w:rPr>
          <w:sz w:val="26"/>
          <w:szCs w:val="26"/>
        </w:rPr>
        <w:tab/>
      </w:r>
      <w:r>
        <w:rPr>
          <w:sz w:val="26"/>
          <w:szCs w:val="26"/>
        </w:rPr>
        <w:tab/>
        <w:t>European Commission</w:t>
      </w:r>
    </w:p>
    <w:p w14:paraId="7591A415" w14:textId="77777777" w:rsidR="003F6C9C" w:rsidRPr="003356DC" w:rsidRDefault="003F6C9C" w:rsidP="003F6C9C">
      <w:pPr>
        <w:rPr>
          <w:sz w:val="26"/>
          <w:szCs w:val="26"/>
        </w:rPr>
      </w:pPr>
      <w:r w:rsidRPr="003356DC">
        <w:rPr>
          <w:sz w:val="26"/>
          <w:szCs w:val="26"/>
        </w:rPr>
        <w:t>EU</w:t>
      </w:r>
      <w:r>
        <w:rPr>
          <w:sz w:val="26"/>
          <w:szCs w:val="26"/>
        </w:rPr>
        <w:tab/>
      </w:r>
      <w:r>
        <w:rPr>
          <w:sz w:val="26"/>
          <w:szCs w:val="26"/>
        </w:rPr>
        <w:tab/>
      </w:r>
      <w:r w:rsidRPr="003356DC">
        <w:rPr>
          <w:sz w:val="26"/>
          <w:szCs w:val="26"/>
        </w:rPr>
        <w:t>European Union</w:t>
      </w:r>
    </w:p>
    <w:p w14:paraId="7591A416" w14:textId="77777777" w:rsidR="003F6C9C" w:rsidRPr="0088676C" w:rsidRDefault="003F6C9C" w:rsidP="003F6C9C">
      <w:pPr>
        <w:rPr>
          <w:sz w:val="26"/>
          <w:szCs w:val="26"/>
        </w:rPr>
      </w:pPr>
      <w:r w:rsidRPr="007951D1">
        <w:rPr>
          <w:sz w:val="26"/>
          <w:szCs w:val="26"/>
        </w:rPr>
        <w:t>GDP</w:t>
      </w:r>
      <w:r>
        <w:rPr>
          <w:sz w:val="26"/>
          <w:szCs w:val="26"/>
        </w:rPr>
        <w:tab/>
      </w:r>
      <w:r>
        <w:rPr>
          <w:sz w:val="26"/>
          <w:szCs w:val="26"/>
        </w:rPr>
        <w:tab/>
      </w:r>
      <w:r w:rsidRPr="0088676C">
        <w:rPr>
          <w:sz w:val="26"/>
          <w:szCs w:val="26"/>
        </w:rPr>
        <w:t>Gross Domestic Product</w:t>
      </w:r>
    </w:p>
    <w:p w14:paraId="7591A417" w14:textId="77777777" w:rsidR="003F6C9C" w:rsidRPr="003356DC" w:rsidRDefault="003F6C9C" w:rsidP="003F6C9C">
      <w:pPr>
        <w:rPr>
          <w:sz w:val="26"/>
          <w:szCs w:val="26"/>
        </w:rPr>
      </w:pPr>
      <w:r w:rsidRPr="003356DC">
        <w:rPr>
          <w:sz w:val="26"/>
          <w:szCs w:val="26"/>
        </w:rPr>
        <w:t>HRBA</w:t>
      </w:r>
      <w:r>
        <w:rPr>
          <w:sz w:val="26"/>
          <w:szCs w:val="26"/>
        </w:rPr>
        <w:tab/>
      </w:r>
      <w:r>
        <w:rPr>
          <w:sz w:val="26"/>
          <w:szCs w:val="26"/>
        </w:rPr>
        <w:tab/>
      </w:r>
      <w:r w:rsidRPr="003356DC">
        <w:rPr>
          <w:sz w:val="26"/>
          <w:szCs w:val="26"/>
        </w:rPr>
        <w:t>Human Rights Based Approach</w:t>
      </w:r>
    </w:p>
    <w:p w14:paraId="7591A418" w14:textId="77777777" w:rsidR="003F6C9C" w:rsidRDefault="003F6C9C" w:rsidP="003F6C9C">
      <w:pPr>
        <w:rPr>
          <w:sz w:val="26"/>
          <w:szCs w:val="26"/>
        </w:rPr>
      </w:pPr>
      <w:r>
        <w:rPr>
          <w:sz w:val="26"/>
          <w:szCs w:val="26"/>
        </w:rPr>
        <w:t>IP</w:t>
      </w:r>
      <w:r>
        <w:rPr>
          <w:sz w:val="26"/>
          <w:szCs w:val="26"/>
        </w:rPr>
        <w:tab/>
      </w:r>
      <w:r>
        <w:rPr>
          <w:sz w:val="26"/>
          <w:szCs w:val="26"/>
        </w:rPr>
        <w:tab/>
        <w:t>Implementing Partner</w:t>
      </w:r>
    </w:p>
    <w:p w14:paraId="7591A419" w14:textId="77777777" w:rsidR="003F6C9C" w:rsidRDefault="003F6C9C" w:rsidP="003F6C9C">
      <w:pPr>
        <w:rPr>
          <w:sz w:val="26"/>
          <w:szCs w:val="26"/>
        </w:rPr>
      </w:pPr>
      <w:r>
        <w:rPr>
          <w:sz w:val="26"/>
          <w:szCs w:val="26"/>
        </w:rPr>
        <w:t>INTRAC</w:t>
      </w:r>
      <w:r>
        <w:rPr>
          <w:sz w:val="26"/>
          <w:szCs w:val="26"/>
        </w:rPr>
        <w:tab/>
      </w:r>
      <w:r>
        <w:rPr>
          <w:sz w:val="26"/>
          <w:szCs w:val="26"/>
        </w:rPr>
        <w:tab/>
      </w:r>
      <w:r w:rsidRPr="007951D1">
        <w:rPr>
          <w:sz w:val="26"/>
          <w:szCs w:val="26"/>
        </w:rPr>
        <w:t>International NGO Training and Research Centre</w:t>
      </w:r>
      <w:r>
        <w:rPr>
          <w:sz w:val="26"/>
          <w:szCs w:val="26"/>
        </w:rPr>
        <w:t xml:space="preserve"> (UK)</w:t>
      </w:r>
    </w:p>
    <w:p w14:paraId="7591A41A" w14:textId="77777777" w:rsidR="003F6C9C" w:rsidRPr="00FF44DA" w:rsidRDefault="003F6C9C" w:rsidP="003F6C9C">
      <w:pPr>
        <w:rPr>
          <w:sz w:val="26"/>
          <w:szCs w:val="26"/>
        </w:rPr>
      </w:pPr>
      <w:r w:rsidRPr="00FF44DA">
        <w:rPr>
          <w:sz w:val="26"/>
          <w:szCs w:val="26"/>
        </w:rPr>
        <w:t>ISAR</w:t>
      </w:r>
      <w:r w:rsidRPr="00FF44DA">
        <w:rPr>
          <w:sz w:val="26"/>
          <w:szCs w:val="26"/>
        </w:rPr>
        <w:tab/>
      </w:r>
      <w:r w:rsidRPr="00FF44DA">
        <w:rPr>
          <w:sz w:val="26"/>
          <w:szCs w:val="26"/>
        </w:rPr>
        <w:tab/>
        <w:t xml:space="preserve">ISAR Ednannia: </w:t>
      </w:r>
      <w:smartTag w:uri="urn:schemas-microsoft-com:office:smarttags" w:element="place">
        <w:smartTag w:uri="urn:schemas-microsoft-com:office:smarttags" w:element="PlaceName">
          <w:r w:rsidRPr="00FF44DA">
            <w:rPr>
              <w:sz w:val="26"/>
              <w:szCs w:val="26"/>
            </w:rPr>
            <w:t>Initiative</w:t>
          </w:r>
        </w:smartTag>
        <w:r w:rsidRPr="00FF44DA">
          <w:rPr>
            <w:sz w:val="26"/>
            <w:szCs w:val="26"/>
          </w:rPr>
          <w:t xml:space="preserve"> </w:t>
        </w:r>
        <w:smartTag w:uri="urn:schemas-microsoft-com:office:smarttags" w:element="PlaceType">
          <w:r w:rsidRPr="00FF44DA">
            <w:rPr>
              <w:sz w:val="26"/>
              <w:szCs w:val="26"/>
            </w:rPr>
            <w:t>Center</w:t>
          </w:r>
        </w:smartTag>
      </w:smartTag>
      <w:r w:rsidRPr="00FF44DA">
        <w:rPr>
          <w:sz w:val="26"/>
          <w:szCs w:val="26"/>
        </w:rPr>
        <w:t xml:space="preserve"> to Support Social Action</w:t>
      </w:r>
    </w:p>
    <w:p w14:paraId="7591A41B" w14:textId="77777777" w:rsidR="003F6C9C" w:rsidRPr="007951D1" w:rsidRDefault="003F6C9C" w:rsidP="003F6C9C">
      <w:pPr>
        <w:rPr>
          <w:sz w:val="26"/>
          <w:szCs w:val="26"/>
        </w:rPr>
      </w:pPr>
      <w:r w:rsidRPr="007951D1">
        <w:rPr>
          <w:sz w:val="26"/>
          <w:szCs w:val="26"/>
        </w:rPr>
        <w:t>MTPR</w:t>
      </w:r>
      <w:r>
        <w:rPr>
          <w:sz w:val="26"/>
          <w:szCs w:val="26"/>
        </w:rPr>
        <w:tab/>
      </w:r>
      <w:r>
        <w:rPr>
          <w:sz w:val="26"/>
          <w:szCs w:val="26"/>
        </w:rPr>
        <w:tab/>
        <w:t>Medium-Term Programme Review (November 2010)</w:t>
      </w:r>
    </w:p>
    <w:p w14:paraId="7591A41C" w14:textId="77777777" w:rsidR="003F6C9C" w:rsidRDefault="003F6C9C" w:rsidP="003F6C9C">
      <w:pPr>
        <w:rPr>
          <w:sz w:val="26"/>
          <w:szCs w:val="26"/>
          <w:lang w:val="en-US"/>
        </w:rPr>
      </w:pPr>
      <w:r>
        <w:rPr>
          <w:sz w:val="26"/>
          <w:szCs w:val="26"/>
          <w:lang w:val="en-US"/>
        </w:rPr>
        <w:t>LFA</w:t>
      </w:r>
      <w:r>
        <w:rPr>
          <w:sz w:val="26"/>
          <w:szCs w:val="26"/>
          <w:lang w:val="en-US"/>
        </w:rPr>
        <w:tab/>
      </w:r>
      <w:r>
        <w:rPr>
          <w:sz w:val="26"/>
          <w:szCs w:val="26"/>
          <w:lang w:val="en-US"/>
        </w:rPr>
        <w:tab/>
        <w:t xml:space="preserve">Logical Framework Analysis </w:t>
      </w:r>
    </w:p>
    <w:p w14:paraId="7591A41D" w14:textId="77777777" w:rsidR="003F6C9C" w:rsidRPr="003356DC" w:rsidRDefault="003F6C9C" w:rsidP="003F6C9C">
      <w:pPr>
        <w:rPr>
          <w:sz w:val="26"/>
          <w:szCs w:val="26"/>
        </w:rPr>
      </w:pPr>
      <w:r w:rsidRPr="003356DC">
        <w:rPr>
          <w:sz w:val="26"/>
          <w:szCs w:val="26"/>
        </w:rPr>
        <w:t>NGO</w:t>
      </w:r>
      <w:r>
        <w:rPr>
          <w:sz w:val="26"/>
          <w:szCs w:val="26"/>
        </w:rPr>
        <w:tab/>
      </w:r>
      <w:r>
        <w:rPr>
          <w:sz w:val="26"/>
          <w:szCs w:val="26"/>
        </w:rPr>
        <w:tab/>
      </w:r>
      <w:r w:rsidRPr="003356DC">
        <w:rPr>
          <w:sz w:val="26"/>
          <w:szCs w:val="26"/>
        </w:rPr>
        <w:t>Non-governmental organisation</w:t>
      </w:r>
    </w:p>
    <w:p w14:paraId="7591A41E" w14:textId="77777777" w:rsidR="003F6C9C" w:rsidRDefault="003F6C9C" w:rsidP="003F6C9C">
      <w:pPr>
        <w:rPr>
          <w:sz w:val="26"/>
          <w:szCs w:val="26"/>
        </w:rPr>
      </w:pPr>
      <w:r w:rsidRPr="009E355B">
        <w:rPr>
          <w:sz w:val="26"/>
          <w:szCs w:val="26"/>
        </w:rPr>
        <w:t>OECD/DAC</w:t>
      </w:r>
      <w:r>
        <w:rPr>
          <w:sz w:val="26"/>
          <w:szCs w:val="26"/>
        </w:rPr>
        <w:tab/>
      </w:r>
      <w:r w:rsidRPr="00504003">
        <w:rPr>
          <w:sz w:val="26"/>
          <w:szCs w:val="26"/>
        </w:rPr>
        <w:t>The Developmen</w:t>
      </w:r>
      <w:r>
        <w:rPr>
          <w:sz w:val="26"/>
          <w:szCs w:val="26"/>
        </w:rPr>
        <w:t xml:space="preserve">t Assistance Committee of </w:t>
      </w:r>
      <w:r w:rsidRPr="007951D1">
        <w:rPr>
          <w:sz w:val="26"/>
          <w:szCs w:val="26"/>
        </w:rPr>
        <w:t xml:space="preserve">the Organisation </w:t>
      </w:r>
    </w:p>
    <w:p w14:paraId="7591A41F" w14:textId="77777777" w:rsidR="003F6C9C" w:rsidRPr="007951D1" w:rsidRDefault="003F6C9C" w:rsidP="003F6C9C">
      <w:pPr>
        <w:ind w:left="720" w:firstLine="720"/>
        <w:rPr>
          <w:sz w:val="26"/>
          <w:szCs w:val="26"/>
        </w:rPr>
      </w:pPr>
      <w:r>
        <w:rPr>
          <w:sz w:val="26"/>
          <w:szCs w:val="26"/>
        </w:rPr>
        <w:tab/>
      </w:r>
      <w:r w:rsidRPr="007951D1">
        <w:rPr>
          <w:sz w:val="26"/>
          <w:szCs w:val="26"/>
        </w:rPr>
        <w:t xml:space="preserve">for Economic Co-operation and Development </w:t>
      </w:r>
    </w:p>
    <w:p w14:paraId="7591A420" w14:textId="77777777" w:rsidR="003F6C9C" w:rsidRPr="007606ED" w:rsidRDefault="003F6C9C" w:rsidP="003F6C9C">
      <w:pPr>
        <w:rPr>
          <w:sz w:val="26"/>
          <w:szCs w:val="26"/>
          <w:lang w:val="en"/>
        </w:rPr>
      </w:pPr>
      <w:r w:rsidRPr="007951D1">
        <w:rPr>
          <w:sz w:val="26"/>
          <w:szCs w:val="26"/>
        </w:rPr>
        <w:t>PPP</w:t>
      </w:r>
      <w:r>
        <w:rPr>
          <w:sz w:val="26"/>
          <w:szCs w:val="26"/>
        </w:rPr>
        <w:tab/>
      </w:r>
      <w:r>
        <w:rPr>
          <w:sz w:val="26"/>
          <w:szCs w:val="26"/>
        </w:rPr>
        <w:tab/>
      </w:r>
      <w:r>
        <w:rPr>
          <w:sz w:val="26"/>
          <w:szCs w:val="26"/>
          <w:lang w:val="en"/>
        </w:rPr>
        <w:t>Purchasing power parity</w:t>
      </w:r>
    </w:p>
    <w:p w14:paraId="7591A421" w14:textId="77777777" w:rsidR="003F6C9C" w:rsidRPr="003356DC" w:rsidRDefault="003F6C9C" w:rsidP="003F6C9C">
      <w:pPr>
        <w:rPr>
          <w:sz w:val="26"/>
          <w:szCs w:val="26"/>
        </w:rPr>
      </w:pPr>
      <w:r w:rsidRPr="003356DC">
        <w:rPr>
          <w:sz w:val="26"/>
          <w:szCs w:val="26"/>
        </w:rPr>
        <w:t>OSCE</w:t>
      </w:r>
      <w:r>
        <w:rPr>
          <w:sz w:val="26"/>
          <w:szCs w:val="26"/>
        </w:rPr>
        <w:tab/>
      </w:r>
      <w:r>
        <w:rPr>
          <w:sz w:val="26"/>
          <w:szCs w:val="26"/>
        </w:rPr>
        <w:tab/>
      </w:r>
      <w:r w:rsidRPr="003356DC">
        <w:rPr>
          <w:sz w:val="26"/>
          <w:szCs w:val="26"/>
        </w:rPr>
        <w:t xml:space="preserve">Organisation for Security and Co-operation in </w:t>
      </w:r>
      <w:smartTag w:uri="urn:schemas-microsoft-com:office:smarttags" w:element="place">
        <w:r w:rsidRPr="003356DC">
          <w:rPr>
            <w:sz w:val="26"/>
            <w:szCs w:val="26"/>
          </w:rPr>
          <w:t>Europe</w:t>
        </w:r>
      </w:smartTag>
    </w:p>
    <w:p w14:paraId="7591A422" w14:textId="77777777" w:rsidR="003F6C9C" w:rsidRPr="003356DC" w:rsidRDefault="003F6C9C" w:rsidP="003F6C9C">
      <w:pPr>
        <w:rPr>
          <w:sz w:val="26"/>
          <w:szCs w:val="26"/>
        </w:rPr>
      </w:pPr>
      <w:r w:rsidRPr="003356DC">
        <w:rPr>
          <w:sz w:val="26"/>
          <w:szCs w:val="26"/>
        </w:rPr>
        <w:t>SIDA</w:t>
      </w:r>
      <w:r>
        <w:rPr>
          <w:sz w:val="26"/>
          <w:szCs w:val="26"/>
        </w:rPr>
        <w:tab/>
      </w:r>
      <w:r>
        <w:rPr>
          <w:sz w:val="26"/>
          <w:szCs w:val="26"/>
        </w:rPr>
        <w:tab/>
      </w:r>
      <w:r w:rsidRPr="003356DC">
        <w:rPr>
          <w:sz w:val="26"/>
          <w:szCs w:val="26"/>
        </w:rPr>
        <w:t>Swedish International Development Cooperation Agency</w:t>
      </w:r>
    </w:p>
    <w:p w14:paraId="7591A423" w14:textId="77777777" w:rsidR="003F6C9C" w:rsidRPr="003356DC" w:rsidRDefault="003F6C9C" w:rsidP="003F6C9C">
      <w:pPr>
        <w:rPr>
          <w:sz w:val="26"/>
          <w:szCs w:val="26"/>
        </w:rPr>
      </w:pPr>
      <w:r w:rsidRPr="003356DC">
        <w:rPr>
          <w:sz w:val="26"/>
          <w:szCs w:val="26"/>
        </w:rPr>
        <w:t>TOR</w:t>
      </w:r>
      <w:r>
        <w:rPr>
          <w:sz w:val="26"/>
          <w:szCs w:val="26"/>
        </w:rPr>
        <w:tab/>
      </w:r>
      <w:r>
        <w:rPr>
          <w:sz w:val="26"/>
          <w:szCs w:val="26"/>
        </w:rPr>
        <w:tab/>
      </w:r>
      <w:r w:rsidRPr="003356DC">
        <w:rPr>
          <w:sz w:val="26"/>
          <w:szCs w:val="26"/>
        </w:rPr>
        <w:t>Terms of Reference</w:t>
      </w:r>
    </w:p>
    <w:p w14:paraId="7591A424" w14:textId="77777777" w:rsidR="003F6C9C" w:rsidRPr="003356DC" w:rsidRDefault="003F6C9C" w:rsidP="003F6C9C">
      <w:pPr>
        <w:rPr>
          <w:sz w:val="26"/>
          <w:szCs w:val="26"/>
        </w:rPr>
      </w:pPr>
      <w:r w:rsidRPr="003356DC">
        <w:rPr>
          <w:sz w:val="26"/>
          <w:szCs w:val="26"/>
        </w:rPr>
        <w:t>UAH</w:t>
      </w:r>
      <w:r>
        <w:rPr>
          <w:sz w:val="26"/>
          <w:szCs w:val="26"/>
        </w:rPr>
        <w:tab/>
      </w:r>
      <w:r>
        <w:rPr>
          <w:sz w:val="26"/>
          <w:szCs w:val="26"/>
        </w:rPr>
        <w:tab/>
      </w:r>
      <w:smartTag w:uri="urn:schemas-microsoft-com:office:smarttags" w:element="country-region">
        <w:smartTag w:uri="urn:schemas-microsoft-com:office:smarttags" w:element="place">
          <w:r w:rsidRPr="003356DC">
            <w:rPr>
              <w:sz w:val="26"/>
              <w:szCs w:val="26"/>
            </w:rPr>
            <w:t>Ukraine</w:t>
          </w:r>
        </w:smartTag>
      </w:smartTag>
      <w:r w:rsidRPr="003356DC">
        <w:rPr>
          <w:sz w:val="26"/>
          <w:szCs w:val="26"/>
        </w:rPr>
        <w:t xml:space="preserve"> hryvnia (the national currency)</w:t>
      </w:r>
    </w:p>
    <w:p w14:paraId="7591A425" w14:textId="77777777" w:rsidR="003F6C9C" w:rsidRPr="003356DC" w:rsidRDefault="003F6C9C" w:rsidP="003F6C9C">
      <w:pPr>
        <w:rPr>
          <w:sz w:val="26"/>
          <w:szCs w:val="26"/>
        </w:rPr>
      </w:pPr>
      <w:r w:rsidRPr="003356DC">
        <w:rPr>
          <w:sz w:val="26"/>
          <w:szCs w:val="26"/>
        </w:rPr>
        <w:t>UCIPR</w:t>
      </w:r>
      <w:r>
        <w:rPr>
          <w:sz w:val="26"/>
          <w:szCs w:val="26"/>
        </w:rPr>
        <w:tab/>
      </w:r>
      <w:r w:rsidR="00945DA9">
        <w:rPr>
          <w:sz w:val="26"/>
          <w:szCs w:val="26"/>
        </w:rPr>
        <w:tab/>
      </w:r>
      <w:r w:rsidRPr="003356DC">
        <w:rPr>
          <w:sz w:val="26"/>
          <w:szCs w:val="26"/>
        </w:rPr>
        <w:t>Ukrainian Centre for Independent Political Research</w:t>
      </w:r>
    </w:p>
    <w:p w14:paraId="7591A426" w14:textId="77777777" w:rsidR="003F6C9C" w:rsidRPr="003356DC" w:rsidRDefault="003F6C9C" w:rsidP="003F6C9C">
      <w:pPr>
        <w:rPr>
          <w:sz w:val="26"/>
          <w:szCs w:val="26"/>
        </w:rPr>
      </w:pPr>
      <w:r w:rsidRPr="003356DC">
        <w:rPr>
          <w:sz w:val="26"/>
          <w:szCs w:val="26"/>
        </w:rPr>
        <w:t>UNDP</w:t>
      </w:r>
      <w:r>
        <w:rPr>
          <w:sz w:val="26"/>
          <w:szCs w:val="26"/>
        </w:rPr>
        <w:tab/>
      </w:r>
      <w:r w:rsidR="00945DA9">
        <w:rPr>
          <w:sz w:val="26"/>
          <w:szCs w:val="26"/>
        </w:rPr>
        <w:tab/>
      </w:r>
      <w:r w:rsidRPr="003356DC">
        <w:rPr>
          <w:sz w:val="26"/>
          <w:szCs w:val="26"/>
        </w:rPr>
        <w:t>United Nations Development Programme</w:t>
      </w:r>
    </w:p>
    <w:p w14:paraId="7591A427" w14:textId="77777777" w:rsidR="003F6C9C" w:rsidRPr="003356DC" w:rsidRDefault="003F6C9C" w:rsidP="003F6C9C">
      <w:pPr>
        <w:rPr>
          <w:sz w:val="26"/>
          <w:szCs w:val="26"/>
        </w:rPr>
      </w:pPr>
      <w:r w:rsidRPr="003356DC">
        <w:rPr>
          <w:sz w:val="26"/>
          <w:szCs w:val="26"/>
        </w:rPr>
        <w:t>UNITER</w:t>
      </w:r>
      <w:r>
        <w:rPr>
          <w:sz w:val="26"/>
          <w:szCs w:val="26"/>
        </w:rPr>
        <w:tab/>
      </w:r>
      <w:r w:rsidR="00945DA9">
        <w:rPr>
          <w:sz w:val="26"/>
          <w:szCs w:val="26"/>
        </w:rPr>
        <w:tab/>
      </w:r>
      <w:r w:rsidRPr="003356DC">
        <w:rPr>
          <w:sz w:val="26"/>
          <w:szCs w:val="26"/>
        </w:rPr>
        <w:t>Ukraine National Initiatives to Enhance Reforms</w:t>
      </w:r>
      <w:r>
        <w:rPr>
          <w:sz w:val="26"/>
          <w:szCs w:val="26"/>
        </w:rPr>
        <w:t xml:space="preserve"> (PACT-USAID)</w:t>
      </w:r>
    </w:p>
    <w:p w14:paraId="7591A428" w14:textId="77777777" w:rsidR="003F6C9C" w:rsidRDefault="003F6C9C" w:rsidP="003F6C9C">
      <w:pPr>
        <w:rPr>
          <w:sz w:val="26"/>
          <w:szCs w:val="26"/>
        </w:rPr>
      </w:pPr>
      <w:r w:rsidRPr="003356DC">
        <w:rPr>
          <w:sz w:val="26"/>
          <w:szCs w:val="26"/>
        </w:rPr>
        <w:t>USAID</w:t>
      </w:r>
      <w:r>
        <w:rPr>
          <w:sz w:val="26"/>
          <w:szCs w:val="26"/>
        </w:rPr>
        <w:tab/>
      </w:r>
      <w:r w:rsidR="00945DA9">
        <w:rPr>
          <w:sz w:val="26"/>
          <w:szCs w:val="26"/>
        </w:rPr>
        <w:tab/>
      </w:r>
      <w:r w:rsidRPr="003356DC">
        <w:rPr>
          <w:sz w:val="26"/>
          <w:szCs w:val="26"/>
        </w:rPr>
        <w:t>United States Agency for International Development</w:t>
      </w:r>
    </w:p>
    <w:p w14:paraId="7591A429" w14:textId="77777777" w:rsidR="003F6C9C" w:rsidRDefault="003F6C9C" w:rsidP="003F6C9C">
      <w:pPr>
        <w:rPr>
          <w:sz w:val="26"/>
          <w:szCs w:val="26"/>
        </w:rPr>
      </w:pPr>
      <w:r>
        <w:rPr>
          <w:rFonts w:cs="Arial"/>
          <w:sz w:val="26"/>
          <w:szCs w:val="26"/>
          <w:lang w:val="en-US" w:eastAsia="ru-RU"/>
        </w:rPr>
        <w:t>VRU</w:t>
      </w:r>
      <w:r>
        <w:rPr>
          <w:rFonts w:cs="Arial"/>
          <w:sz w:val="26"/>
          <w:szCs w:val="26"/>
          <w:lang w:val="en-US" w:eastAsia="ru-RU"/>
        </w:rPr>
        <w:tab/>
      </w:r>
      <w:r>
        <w:rPr>
          <w:rFonts w:cs="Arial"/>
          <w:sz w:val="26"/>
          <w:szCs w:val="26"/>
          <w:lang w:val="en-US" w:eastAsia="ru-RU"/>
        </w:rPr>
        <w:tab/>
        <w:t xml:space="preserve">Verkhovna Rada of </w:t>
      </w:r>
      <w:smartTag w:uri="urn:schemas-microsoft-com:office:smarttags" w:element="country-region">
        <w:smartTag w:uri="urn:schemas-microsoft-com:office:smarttags" w:element="place">
          <w:r>
            <w:rPr>
              <w:rFonts w:cs="Arial"/>
              <w:sz w:val="26"/>
              <w:szCs w:val="26"/>
              <w:lang w:val="en-US" w:eastAsia="ru-RU"/>
            </w:rPr>
            <w:t>Ukraine</w:t>
          </w:r>
        </w:smartTag>
      </w:smartTag>
      <w:r>
        <w:rPr>
          <w:rFonts w:cs="Arial"/>
          <w:sz w:val="26"/>
          <w:szCs w:val="26"/>
          <w:lang w:val="en-US" w:eastAsia="ru-RU"/>
        </w:rPr>
        <w:t xml:space="preserve"> (the Parliament)</w:t>
      </w:r>
    </w:p>
    <w:p w14:paraId="7591A42A" w14:textId="77777777" w:rsidR="003F6C9C" w:rsidRDefault="003F6C9C" w:rsidP="003F6C9C">
      <w:pPr>
        <w:rPr>
          <w:sz w:val="26"/>
          <w:szCs w:val="26"/>
        </w:rPr>
      </w:pPr>
    </w:p>
    <w:p w14:paraId="7591A42B" w14:textId="77777777" w:rsidR="009C5865" w:rsidRDefault="009C5865">
      <w:pPr>
        <w:widowControl/>
        <w:autoSpaceDE/>
        <w:autoSpaceDN/>
        <w:adjustRightInd/>
        <w:spacing w:after="200" w:line="276" w:lineRule="auto"/>
      </w:pPr>
    </w:p>
    <w:p w14:paraId="7591A42C" w14:textId="77777777" w:rsidR="003F6C9C" w:rsidRDefault="003F6C9C">
      <w:pPr>
        <w:widowControl/>
        <w:autoSpaceDE/>
        <w:autoSpaceDN/>
        <w:adjustRightInd/>
        <w:spacing w:after="200" w:line="276" w:lineRule="auto"/>
      </w:pPr>
    </w:p>
    <w:p w14:paraId="7591A42D" w14:textId="77777777" w:rsidR="003F6C9C" w:rsidRDefault="003F6C9C">
      <w:pPr>
        <w:widowControl/>
        <w:autoSpaceDE/>
        <w:autoSpaceDN/>
        <w:adjustRightInd/>
        <w:spacing w:after="200" w:line="276" w:lineRule="auto"/>
        <w:sectPr w:rsidR="003F6C9C" w:rsidSect="006C690D">
          <w:pgSz w:w="11906" w:h="16838"/>
          <w:pgMar w:top="1701" w:right="1134" w:bottom="1701" w:left="1134" w:header="708" w:footer="708" w:gutter="0"/>
          <w:pgNumType w:fmt="lowerRoman" w:start="1"/>
          <w:cols w:space="708"/>
          <w:docGrid w:linePitch="360"/>
        </w:sectPr>
      </w:pPr>
    </w:p>
    <w:p w14:paraId="7591A42E" w14:textId="77777777" w:rsidR="00C9255D" w:rsidRPr="006718F1" w:rsidRDefault="00C9255D" w:rsidP="00DB2EF0"/>
    <w:p w14:paraId="7591A42F" w14:textId="77777777" w:rsidR="00602958" w:rsidRPr="0035500C" w:rsidRDefault="0035500C" w:rsidP="0035500C">
      <w:pPr>
        <w:rPr>
          <w:b/>
          <w:sz w:val="28"/>
          <w:szCs w:val="28"/>
        </w:rPr>
      </w:pPr>
      <w:r w:rsidRPr="0035500C">
        <w:rPr>
          <w:b/>
          <w:sz w:val="28"/>
          <w:szCs w:val="28"/>
        </w:rPr>
        <w:t xml:space="preserve">1.   </w:t>
      </w:r>
      <w:r w:rsidR="00602958" w:rsidRPr="0035500C">
        <w:rPr>
          <w:b/>
          <w:sz w:val="28"/>
          <w:szCs w:val="28"/>
        </w:rPr>
        <w:t>Introduction</w:t>
      </w:r>
    </w:p>
    <w:p w14:paraId="7591A430" w14:textId="77777777" w:rsidR="00602958" w:rsidRPr="006718F1" w:rsidRDefault="00602958" w:rsidP="00DB2EF0"/>
    <w:p w14:paraId="7591A431" w14:textId="77777777" w:rsidR="00602958" w:rsidRPr="006718F1" w:rsidRDefault="00602958" w:rsidP="00DB2EF0">
      <w:r w:rsidRPr="006718F1">
        <w:t xml:space="preserve">The current phase of the Neighbourhood Programme under the Danish Ministry of Foreign Affairs (MFA) has since January 2009 financed the </w:t>
      </w:r>
      <w:r w:rsidRPr="006718F1">
        <w:rPr>
          <w:i/>
          <w:iCs/>
        </w:rPr>
        <w:t>Civil Society Development Programme in Ukraine</w:t>
      </w:r>
      <w:r w:rsidRPr="006718F1">
        <w:t xml:space="preserve"> (CSDP)</w:t>
      </w:r>
      <w:r w:rsidR="004F6E1E">
        <w:t>.</w:t>
      </w:r>
      <w:r w:rsidRPr="006718F1">
        <w:t xml:space="preserve"> The Programme ends</w:t>
      </w:r>
      <w:r w:rsidR="00174897" w:rsidRPr="006718F1">
        <w:t xml:space="preserve"> June</w:t>
      </w:r>
      <w:r w:rsidRPr="006718F1">
        <w:t xml:space="preserve"> 2012 and has a total funding of 20 million DKK.</w:t>
      </w:r>
    </w:p>
    <w:p w14:paraId="7591A432" w14:textId="77777777" w:rsidR="00602958" w:rsidRPr="006718F1" w:rsidRDefault="00602958" w:rsidP="00DB2EF0"/>
    <w:p w14:paraId="7591A433" w14:textId="77777777" w:rsidR="002D6DC9" w:rsidRPr="006718F1" w:rsidRDefault="00602958" w:rsidP="00DB2EF0">
      <w:r w:rsidRPr="006718F1">
        <w:t>CSDP</w:t>
      </w:r>
      <w:r w:rsidR="001D17A4">
        <w:t>,</w:t>
      </w:r>
      <w:r w:rsidRPr="006718F1">
        <w:t xml:space="preserve"> which is implemented by UNDP Ukraine</w:t>
      </w:r>
      <w:r w:rsidR="001D17A4">
        <w:t>,</w:t>
      </w:r>
      <w:r w:rsidRPr="006718F1">
        <w:t xml:space="preserve"> aims at a strengthened civil society promoting democratic governance. It helps the CSOs to become stronger and enhance citizen participation in policy processes by developing the capacity of CSO´s at the regional and local level to effectively address citizens´ needs. It includes two main components</w:t>
      </w:r>
      <w:r w:rsidR="00DC781C">
        <w:rPr>
          <w:rStyle w:val="FootnoteReference"/>
        </w:rPr>
        <w:footnoteReference w:id="1"/>
      </w:r>
      <w:r w:rsidRPr="006718F1">
        <w:t>:</w:t>
      </w:r>
    </w:p>
    <w:p w14:paraId="7591A434" w14:textId="77777777" w:rsidR="00602958" w:rsidRPr="006718F1" w:rsidRDefault="00602958" w:rsidP="0035500C">
      <w:pPr>
        <w:pStyle w:val="ListParagraph"/>
        <w:numPr>
          <w:ilvl w:val="0"/>
          <w:numId w:val="19"/>
        </w:numPr>
      </w:pPr>
      <w:r w:rsidRPr="006718F1">
        <w:t>Small grants scheme for CSOs in seven regions to provide services to their constituencies and communities aimed at improving the rights and situation of vulnerable groups, promoting human rights and promoting transparency and accountability of regional and local governments;</w:t>
      </w:r>
    </w:p>
    <w:p w14:paraId="7591A435" w14:textId="77777777" w:rsidR="00602958" w:rsidRPr="006718F1" w:rsidRDefault="00602958" w:rsidP="0035500C">
      <w:pPr>
        <w:pStyle w:val="ListParagraph"/>
        <w:numPr>
          <w:ilvl w:val="0"/>
          <w:numId w:val="19"/>
        </w:numPr>
      </w:pPr>
      <w:r w:rsidRPr="006718F1">
        <w:t>Supporting the development of an enabling legal framework for civil society in Ukraine in accordance with recommendations of the Council of Europe.</w:t>
      </w:r>
    </w:p>
    <w:p w14:paraId="7591A436" w14:textId="77777777" w:rsidR="00602958" w:rsidRPr="006718F1" w:rsidRDefault="00602958" w:rsidP="00DB2EF0">
      <w:pPr>
        <w:pStyle w:val="ListParagraph"/>
      </w:pPr>
    </w:p>
    <w:p w14:paraId="7591A437" w14:textId="77777777" w:rsidR="00602958" w:rsidRPr="006718F1" w:rsidRDefault="00602958" w:rsidP="00DB2EF0">
      <w:r w:rsidRPr="006718F1">
        <w:t>Additionally, the CSDP helps to strengthen the</w:t>
      </w:r>
      <w:r w:rsidR="001D17A4">
        <w:t xml:space="preserve"> capacities of the </w:t>
      </w:r>
      <w:r w:rsidRPr="006718F1">
        <w:t>selected CSOs through training, CSO networking and experience sharing events, international study tours, as well as expert round table discussions, public awareness, and media events.</w:t>
      </w:r>
    </w:p>
    <w:p w14:paraId="7591A438" w14:textId="77777777" w:rsidR="00602958" w:rsidRPr="006718F1" w:rsidRDefault="00602958" w:rsidP="00DB2EF0">
      <w:r w:rsidRPr="006718F1">
        <w:t xml:space="preserve"> </w:t>
      </w:r>
    </w:p>
    <w:p w14:paraId="7591A439" w14:textId="77777777" w:rsidR="00602958" w:rsidRPr="006718F1" w:rsidRDefault="00602958" w:rsidP="0035500C">
      <w:r w:rsidRPr="006718F1">
        <w:t>The overall objective of the present review is a documentation of progress as well as possible adjustments if deemed necessary in light of possible changes in context. The results of the review will be considered as one input into the considerations regarding possible future activities in the field of civil society development.</w:t>
      </w:r>
      <w:r w:rsidR="000A19F2" w:rsidRPr="006718F1">
        <w:t xml:space="preserve"> (</w:t>
      </w:r>
      <w:r w:rsidR="00D30B20" w:rsidRPr="006718F1">
        <w:t>T</w:t>
      </w:r>
      <w:r w:rsidR="000A19F2" w:rsidRPr="006718F1">
        <w:t>he TOR for th</w:t>
      </w:r>
      <w:r w:rsidR="00C86568" w:rsidRPr="006718F1">
        <w:t>e</w:t>
      </w:r>
      <w:r w:rsidR="000A19F2" w:rsidRPr="006718F1">
        <w:t xml:space="preserve"> review can </w:t>
      </w:r>
      <w:r w:rsidR="00C86568" w:rsidRPr="006718F1">
        <w:t>b</w:t>
      </w:r>
      <w:r w:rsidR="000A19F2" w:rsidRPr="006718F1">
        <w:t>e found</w:t>
      </w:r>
      <w:r w:rsidR="00C86568" w:rsidRPr="006718F1">
        <w:t xml:space="preserve"> </w:t>
      </w:r>
      <w:r w:rsidR="000A19F2" w:rsidRPr="006718F1">
        <w:t>in Annex 1)</w:t>
      </w:r>
      <w:r w:rsidR="000B5110" w:rsidRPr="006718F1">
        <w:t>.</w:t>
      </w:r>
    </w:p>
    <w:p w14:paraId="7591A43A" w14:textId="77777777" w:rsidR="006B4CAC" w:rsidRPr="006718F1" w:rsidRDefault="006B4CAC" w:rsidP="0035500C"/>
    <w:p w14:paraId="7591A43B" w14:textId="77777777" w:rsidR="000B5110" w:rsidRPr="006718F1" w:rsidRDefault="0002421A" w:rsidP="0035500C">
      <w:r w:rsidRPr="006718F1">
        <w:t xml:space="preserve">The </w:t>
      </w:r>
      <w:r w:rsidR="004F6E1E">
        <w:t>team</w:t>
      </w:r>
      <w:r w:rsidRPr="006718F1">
        <w:t xml:space="preserve"> has chosen to place a rather large emphasis on considerations regarding possible future activities in the field of civil society development</w:t>
      </w:r>
      <w:r w:rsidR="001D17A4">
        <w:t xml:space="preserve">. This is </w:t>
      </w:r>
      <w:r w:rsidRPr="006718F1">
        <w:t>due to the fact th</w:t>
      </w:r>
      <w:r w:rsidR="001D17A4">
        <w:t>at the</w:t>
      </w:r>
      <w:r w:rsidRPr="006718F1">
        <w:t xml:space="preserve"> findings to a large extent are positive and as the present implementation period ends in nine months</w:t>
      </w:r>
      <w:r w:rsidR="001D17A4">
        <w:t>’</w:t>
      </w:r>
      <w:r w:rsidRPr="006718F1">
        <w:t xml:space="preserve"> time.  </w:t>
      </w:r>
      <w:r w:rsidR="00B34C5D" w:rsidRPr="006718F1">
        <w:t xml:space="preserve"> </w:t>
      </w:r>
      <w:r w:rsidR="000B5110" w:rsidRPr="006718F1">
        <w:t xml:space="preserve"> </w:t>
      </w:r>
    </w:p>
    <w:p w14:paraId="7591A43C" w14:textId="77777777" w:rsidR="00AD2172" w:rsidRPr="006718F1" w:rsidRDefault="00AD2172" w:rsidP="0035500C"/>
    <w:p w14:paraId="7591A43D" w14:textId="77777777" w:rsidR="00C17C89" w:rsidRPr="006718F1" w:rsidRDefault="00AD2172" w:rsidP="0035500C">
      <w:r w:rsidRPr="006718F1">
        <w:t xml:space="preserve">The </w:t>
      </w:r>
      <w:r w:rsidR="004F6E1E">
        <w:t>team</w:t>
      </w:r>
      <w:r w:rsidRPr="006718F1">
        <w:t xml:space="preserve"> consisted of</w:t>
      </w:r>
      <w:r w:rsidR="00C17C89" w:rsidRPr="006718F1">
        <w:t xml:space="preserve">: Mr Anders Baltzer Jørgensen, Ministry of Foreign Affairs, Technical Advisory Services, </w:t>
      </w:r>
      <w:r w:rsidR="004F6E1E">
        <w:t>Team</w:t>
      </w:r>
      <w:r w:rsidR="00C17C89" w:rsidRPr="006718F1">
        <w:t xml:space="preserve"> Leader and Mr Hans Peter Dejgaard, External consultant. Mr Fin Poulsen and </w:t>
      </w:r>
      <w:r w:rsidR="001D17A4">
        <w:t xml:space="preserve">Ms </w:t>
      </w:r>
      <w:r w:rsidR="00C17C89" w:rsidRPr="006718F1">
        <w:t>Louise Jersild, Ministry of Foreign Affairs, ENR, participate</w:t>
      </w:r>
      <w:r w:rsidR="000B5110" w:rsidRPr="006718F1">
        <w:t>d</w:t>
      </w:r>
      <w:r w:rsidR="00C17C89" w:rsidRPr="006718F1">
        <w:t xml:space="preserve"> in the first two days of the visit as resource person</w:t>
      </w:r>
      <w:r w:rsidR="001D17A4">
        <w:t>s</w:t>
      </w:r>
      <w:r w:rsidR="00C17C89" w:rsidRPr="006718F1">
        <w:t xml:space="preserve">. </w:t>
      </w:r>
    </w:p>
    <w:p w14:paraId="7591A43E" w14:textId="77777777" w:rsidR="000E347D" w:rsidRPr="006718F1" w:rsidRDefault="000E347D" w:rsidP="0035500C"/>
    <w:p w14:paraId="7591A43F" w14:textId="77777777" w:rsidR="000E347D" w:rsidRPr="006718F1" w:rsidRDefault="000E347D" w:rsidP="0035500C">
      <w:r w:rsidRPr="006718F1">
        <w:t>The team met</w:t>
      </w:r>
      <w:r w:rsidR="001D17A4">
        <w:t xml:space="preserve"> the</w:t>
      </w:r>
      <w:r w:rsidR="000A19F2" w:rsidRPr="006718F1">
        <w:t xml:space="preserve"> UNDP management</w:t>
      </w:r>
      <w:r w:rsidR="000B5110" w:rsidRPr="006718F1">
        <w:t>,</w:t>
      </w:r>
      <w:r w:rsidR="000A19F2" w:rsidRPr="006718F1">
        <w:t xml:space="preserve"> </w:t>
      </w:r>
      <w:r w:rsidRPr="006718F1">
        <w:t>th</w:t>
      </w:r>
      <w:r w:rsidR="000A19F2" w:rsidRPr="006718F1">
        <w:t>e</w:t>
      </w:r>
      <w:r w:rsidRPr="006718F1">
        <w:t xml:space="preserve"> main authorities and some of the donors an</w:t>
      </w:r>
      <w:r w:rsidR="000A19F2" w:rsidRPr="006718F1">
        <w:t>d international NGOs involved in support to civil society in Ukraine. The two implementing partners and six NGOs supported by the programme were met during a brief field visit to Lviv town</w:t>
      </w:r>
      <w:r w:rsidR="001D17A4">
        <w:t>,</w:t>
      </w:r>
      <w:r w:rsidR="000A19F2" w:rsidRPr="006718F1">
        <w:t xml:space="preserve"> where the </w:t>
      </w:r>
      <w:r w:rsidR="004F6E1E">
        <w:t>team</w:t>
      </w:r>
      <w:r w:rsidR="000A19F2" w:rsidRPr="006718F1">
        <w:t xml:space="preserve"> was accompanied by Ms Yuliya Shcherbinina UNDP</w:t>
      </w:r>
      <w:r w:rsidR="008A252A" w:rsidRPr="006718F1">
        <w:t xml:space="preserve"> </w:t>
      </w:r>
      <w:r w:rsidR="000A19F2" w:rsidRPr="006718F1">
        <w:t xml:space="preserve">Programme </w:t>
      </w:r>
      <w:r w:rsidR="008A252A" w:rsidRPr="006718F1">
        <w:t>M</w:t>
      </w:r>
      <w:r w:rsidR="000A19F2" w:rsidRPr="006718F1">
        <w:t xml:space="preserve">anager and Mr Vasyl Romanyuk, CSDP </w:t>
      </w:r>
      <w:r w:rsidR="008A252A" w:rsidRPr="006718F1">
        <w:t>C</w:t>
      </w:r>
      <w:r w:rsidR="000A19F2" w:rsidRPr="006718F1">
        <w:t xml:space="preserve">ommunications </w:t>
      </w:r>
      <w:r w:rsidR="008A252A" w:rsidRPr="006718F1">
        <w:t>E</w:t>
      </w:r>
      <w:r w:rsidR="000A19F2" w:rsidRPr="006718F1">
        <w:t>xpert.</w:t>
      </w:r>
      <w:r w:rsidRPr="006718F1">
        <w:t xml:space="preserve"> (The persons met can be found in Annex 2). </w:t>
      </w:r>
    </w:p>
    <w:p w14:paraId="7591A440" w14:textId="77777777" w:rsidR="000E347D" w:rsidRPr="006718F1" w:rsidRDefault="000E347D" w:rsidP="0035500C"/>
    <w:p w14:paraId="7591A441" w14:textId="77777777" w:rsidR="00602958" w:rsidRPr="006718F1" w:rsidRDefault="0035500C" w:rsidP="00DB2EF0">
      <w:r>
        <w:t>T</w:t>
      </w:r>
      <w:r w:rsidR="00AD2172" w:rsidRPr="006718F1">
        <w:t>he</w:t>
      </w:r>
      <w:r w:rsidR="00974129" w:rsidRPr="006718F1">
        <w:t xml:space="preserve"> </w:t>
      </w:r>
      <w:r w:rsidR="004F6E1E">
        <w:t>team</w:t>
      </w:r>
      <w:r w:rsidR="00AD2172" w:rsidRPr="006718F1">
        <w:t xml:space="preserve"> would like to thank all involved for their support and active participation in the review process.</w:t>
      </w:r>
      <w:r w:rsidR="0016390D" w:rsidRPr="006718F1">
        <w:t xml:space="preserve"> The </w:t>
      </w:r>
      <w:r w:rsidR="004F6E1E">
        <w:t>t</w:t>
      </w:r>
      <w:r w:rsidR="0016390D" w:rsidRPr="006718F1">
        <w:t xml:space="preserve">eam will especially thank the project staff for its readiness in providing the team with all information required. </w:t>
      </w:r>
      <w:r w:rsidR="00AD2172" w:rsidRPr="006718F1">
        <w:t xml:space="preserve">The findings and recommendations of the </w:t>
      </w:r>
      <w:r w:rsidR="004F6E1E">
        <w:t>t</w:t>
      </w:r>
      <w:r w:rsidR="00AD2172" w:rsidRPr="006718F1">
        <w:t>eam do not necessarily reflect the opinions of UNDP or the Government of Denmark.</w:t>
      </w:r>
    </w:p>
    <w:p w14:paraId="7591A442" w14:textId="77777777" w:rsidR="00C9255D" w:rsidRPr="0035500C" w:rsidRDefault="00C9255D" w:rsidP="0035500C">
      <w:pPr>
        <w:pStyle w:val="Heading2"/>
        <w:numPr>
          <w:ilvl w:val="0"/>
          <w:numId w:val="0"/>
        </w:numPr>
        <w:ind w:left="709" w:hanging="709"/>
        <w:rPr>
          <w:kern w:val="32"/>
          <w:sz w:val="28"/>
          <w:szCs w:val="28"/>
        </w:rPr>
      </w:pPr>
      <w:r w:rsidRPr="0035500C">
        <w:rPr>
          <w:kern w:val="32"/>
          <w:sz w:val="28"/>
          <w:szCs w:val="28"/>
        </w:rPr>
        <w:lastRenderedPageBreak/>
        <w:t xml:space="preserve">2. </w:t>
      </w:r>
      <w:r w:rsidR="0035500C" w:rsidRPr="0035500C">
        <w:rPr>
          <w:kern w:val="32"/>
          <w:sz w:val="28"/>
          <w:szCs w:val="28"/>
        </w:rPr>
        <w:t xml:space="preserve"> </w:t>
      </w:r>
      <w:r w:rsidRPr="0035500C">
        <w:rPr>
          <w:kern w:val="32"/>
          <w:sz w:val="28"/>
          <w:szCs w:val="28"/>
        </w:rPr>
        <w:t>Civil society in Ukraine</w:t>
      </w:r>
    </w:p>
    <w:p w14:paraId="7591A443" w14:textId="77777777" w:rsidR="00C9255D" w:rsidRDefault="00C9255D" w:rsidP="00DB2EF0">
      <w:r w:rsidRPr="006718F1">
        <w:t>During the implementation of Civil Society Development Programme (CSDP)</w:t>
      </w:r>
      <w:r w:rsidR="001D17A4">
        <w:t>,</w:t>
      </w:r>
      <w:r w:rsidRPr="006718F1">
        <w:t xml:space="preserve"> Ukraine has been marked by significant changes. The period up to the election in February 2010 was characterized by political apathy where people felt worn-out after the five years of ineffective governance </w:t>
      </w:r>
      <w:r w:rsidR="001D17A4">
        <w:t>by</w:t>
      </w:r>
      <w:r w:rsidRPr="006718F1">
        <w:t xml:space="preserve"> the pro-Orange coalition. The election of the new President Viktor Yanukovych accumulated the power with</w:t>
      </w:r>
      <w:r w:rsidR="001D17A4">
        <w:t>in</w:t>
      </w:r>
      <w:r w:rsidRPr="006718F1">
        <w:t xml:space="preserve"> one party – Party of Regions. Despite the fact that these elections were recognized by observers as the first clear and transparent elections in Ukraine, as recently expressed by Vaclav Havel, Ukraine has with </w:t>
      </w:r>
      <w:r w:rsidR="00E90B7E">
        <w:t>P</w:t>
      </w:r>
      <w:r w:rsidRPr="006718F1">
        <w:t>resident Yanukovych “</w:t>
      </w:r>
      <w:r w:rsidRPr="006718F1">
        <w:rPr>
          <w:i/>
        </w:rPr>
        <w:t>experienced a significant and alarming deterioration in its democratic framework. Fundamental tenets of a democratic society —freedom of expression, assembly and the press — are increasingly coming under pressure.</w:t>
      </w:r>
      <w:r w:rsidRPr="006718F1">
        <w:t>”</w:t>
      </w:r>
    </w:p>
    <w:p w14:paraId="7591A444" w14:textId="77777777" w:rsidR="00AB4110" w:rsidRPr="006718F1" w:rsidRDefault="00AB4110" w:rsidP="00DB2EF0"/>
    <w:p w14:paraId="7591A445" w14:textId="77777777" w:rsidR="00C9255D" w:rsidRPr="006718F1" w:rsidRDefault="00C9255D" w:rsidP="00DB2EF0">
      <w:r w:rsidRPr="006718F1">
        <w:t xml:space="preserve">The Ukrainian context contains both threats and opportunities for the CSOs. </w:t>
      </w:r>
      <w:r w:rsidRPr="006718F1">
        <w:rPr>
          <w:lang w:eastAsia="en-GB"/>
        </w:rPr>
        <w:t xml:space="preserve">The </w:t>
      </w:r>
      <w:r w:rsidRPr="006718F1">
        <w:rPr>
          <w:rFonts w:cs="Tahoma"/>
          <w:lang w:eastAsia="da-DK"/>
        </w:rPr>
        <w:t xml:space="preserve">Parliament is probably close to adopting a new </w:t>
      </w:r>
      <w:r w:rsidRPr="006718F1">
        <w:t xml:space="preserve">‘Law on Civil Associations’, which according to a draft version could move the legal environment toward </w:t>
      </w:r>
      <w:r w:rsidRPr="006718F1">
        <w:rPr>
          <w:rFonts w:cs="TT1F6o00"/>
        </w:rPr>
        <w:t xml:space="preserve">compliance with European standards: </w:t>
      </w:r>
      <w:r w:rsidRPr="006718F1">
        <w:t>Simplification of CSO registration, less government regulation of CSO activities and better condition</w:t>
      </w:r>
      <w:r w:rsidR="00E90B7E">
        <w:t>s</w:t>
      </w:r>
      <w:r w:rsidRPr="006718F1">
        <w:t xml:space="preserve"> for CSO</w:t>
      </w:r>
      <w:r w:rsidR="00E90B7E">
        <w:t>s</w:t>
      </w:r>
      <w:r w:rsidRPr="006718F1">
        <w:t xml:space="preserve"> financial income. Today severe constrains exist in these areas.</w:t>
      </w:r>
    </w:p>
    <w:p w14:paraId="7591A446" w14:textId="77777777" w:rsidR="00AB4110" w:rsidRDefault="00AB4110" w:rsidP="00DB2EF0"/>
    <w:p w14:paraId="7591A447" w14:textId="77777777" w:rsidR="00C9255D" w:rsidRPr="006718F1" w:rsidRDefault="00C9255D" w:rsidP="00DB2EF0">
      <w:r w:rsidRPr="006718F1">
        <w:t xml:space="preserve">Currently, on the agenda is also a draft law on ‘Charity Organisations’ and amendments to the taxation laws. Last year </w:t>
      </w:r>
      <w:r w:rsidR="00324378">
        <w:t>a</w:t>
      </w:r>
      <w:r w:rsidRPr="006718F1">
        <w:t xml:space="preserve"> regulation on ‘public access’ was adopted</w:t>
      </w:r>
      <w:r w:rsidR="00324378">
        <w:t>. It required that all executive bodies should establish p</w:t>
      </w:r>
      <w:r w:rsidRPr="006718F1">
        <w:t xml:space="preserve">ublic consultative councils. </w:t>
      </w:r>
      <w:r w:rsidR="00324378">
        <w:t xml:space="preserve">They have been established </w:t>
      </w:r>
      <w:r w:rsidRPr="006718F1">
        <w:t>with more than 9,000 representatives many of which are from CSOs.</w:t>
      </w:r>
    </w:p>
    <w:p w14:paraId="7591A448" w14:textId="77777777" w:rsidR="00AB4110" w:rsidRDefault="00AB4110" w:rsidP="00DB2EF0"/>
    <w:p w14:paraId="7591A449" w14:textId="77777777" w:rsidR="00C9255D" w:rsidRPr="0035500C" w:rsidRDefault="00C9255D" w:rsidP="00DB2EF0">
      <w:pPr>
        <w:rPr>
          <w:b/>
        </w:rPr>
      </w:pPr>
      <w:r w:rsidRPr="0035500C">
        <w:rPr>
          <w:b/>
        </w:rPr>
        <w:t>CSO</w:t>
      </w:r>
      <w:r w:rsidR="004F123A" w:rsidRPr="0035500C">
        <w:rPr>
          <w:b/>
        </w:rPr>
        <w:t xml:space="preserve"> context</w:t>
      </w:r>
    </w:p>
    <w:p w14:paraId="7591A44A" w14:textId="77777777" w:rsidR="00C9255D" w:rsidRPr="006718F1" w:rsidRDefault="00A6106E" w:rsidP="00DB2EF0">
      <w:r>
        <w:t xml:space="preserve">It is necessary for the </w:t>
      </w:r>
      <w:r w:rsidR="00C9255D" w:rsidRPr="006718F1">
        <w:t>Ukrainian CSOs to increase</w:t>
      </w:r>
      <w:r>
        <w:t xml:space="preserve"> their</w:t>
      </w:r>
      <w:r w:rsidR="00C9255D" w:rsidRPr="006718F1">
        <w:t xml:space="preserve"> capabilit</w:t>
      </w:r>
      <w:r>
        <w:t>ies</w:t>
      </w:r>
      <w:r w:rsidR="00C9255D" w:rsidRPr="006718F1">
        <w:t xml:space="preserve"> to play an active role in strengthening and deepening</w:t>
      </w:r>
      <w:r w:rsidR="00E90B7E">
        <w:t xml:space="preserve"> democracy in </w:t>
      </w:r>
      <w:r w:rsidR="00C9255D" w:rsidRPr="006718F1">
        <w:t>Ukraine</w:t>
      </w:r>
      <w:r>
        <w:t xml:space="preserve">. This </w:t>
      </w:r>
      <w:r w:rsidR="00C9255D" w:rsidRPr="006718F1">
        <w:t>is an important justification fo</w:t>
      </w:r>
      <w:r>
        <w:t>r</w:t>
      </w:r>
      <w:r w:rsidR="00C9255D" w:rsidRPr="006718F1">
        <w:t xml:space="preserve"> the Danish support.</w:t>
      </w:r>
    </w:p>
    <w:p w14:paraId="7591A44B" w14:textId="77777777" w:rsidR="00C9255D" w:rsidRPr="006718F1" w:rsidRDefault="00C9255D" w:rsidP="00DB2EF0"/>
    <w:p w14:paraId="7591A44C" w14:textId="77777777" w:rsidR="00C9255D" w:rsidRPr="006718F1" w:rsidRDefault="00C9255D" w:rsidP="00DB2EF0">
      <w:r w:rsidRPr="006718F1">
        <w:t>The characteristics of</w:t>
      </w:r>
      <w:r w:rsidR="00E90B7E">
        <w:t xml:space="preserve"> the civil society in </w:t>
      </w:r>
      <w:r w:rsidRPr="006718F1">
        <w:t>Ukraine today can still be traced to the history</w:t>
      </w:r>
      <w:r w:rsidR="00A6106E">
        <w:t xml:space="preserve"> of mass organisations</w:t>
      </w:r>
      <w:r w:rsidRPr="006718F1">
        <w:t>, and only about 17</w:t>
      </w:r>
      <w:r w:rsidR="002B0A63">
        <w:t xml:space="preserve"> </w:t>
      </w:r>
      <w:r w:rsidR="006116B9">
        <w:t>per cent</w:t>
      </w:r>
      <w:r w:rsidRPr="006718F1">
        <w:t xml:space="preserve"> of the population</w:t>
      </w:r>
      <w:r w:rsidRPr="002B0A63">
        <w:rPr>
          <w:rStyle w:val="FootnoteReference"/>
        </w:rPr>
        <w:footnoteReference w:id="2"/>
      </w:r>
      <w:r w:rsidRPr="002B0A63">
        <w:rPr>
          <w:rStyle w:val="FootnoteReference"/>
        </w:rPr>
        <w:t xml:space="preserve"> </w:t>
      </w:r>
      <w:r w:rsidR="002B0A63">
        <w:t xml:space="preserve"> i</w:t>
      </w:r>
      <w:r w:rsidRPr="006718F1">
        <w:t xml:space="preserve">s involved in any activity of a CSO (including faith based organisations, sport associations and political parties). New types of CSOs have emerged during the last decade, such as think tanks and advocacy groups with research, legislative drafts and campaigns aimed at the parliament, government and donors. They have sprung out of donor initiatives and depend to a very large extent on donor funding. Some tend to function as the same </w:t>
      </w:r>
      <w:r w:rsidRPr="002B0A63">
        <w:t>donor’s consultants. Internal governance and legitimacy in terms of having their own constituency or</w:t>
      </w:r>
      <w:r w:rsidRPr="006718F1">
        <w:t xml:space="preserve"> representing the public or specific interest group or communities have not been given a great deal of attention, resulting in many cases in weak links with citizens.</w:t>
      </w:r>
    </w:p>
    <w:p w14:paraId="7591A44D" w14:textId="77777777" w:rsidR="00C9255D" w:rsidRPr="006718F1" w:rsidRDefault="00C9255D" w:rsidP="00DB2EF0"/>
    <w:p w14:paraId="7591A44E" w14:textId="77777777" w:rsidR="00C9255D" w:rsidRPr="006718F1" w:rsidRDefault="00C9255D" w:rsidP="00DB2EF0">
      <w:r w:rsidRPr="006718F1">
        <w:t xml:space="preserve">The concept of membership in Ukraine is still tarnished by the history of </w:t>
      </w:r>
      <w:r w:rsidR="00A6106E">
        <w:t xml:space="preserve">compulsory </w:t>
      </w:r>
      <w:r w:rsidRPr="006718F1">
        <w:t xml:space="preserve">membership in a few mass organisations. </w:t>
      </w:r>
      <w:r w:rsidR="00A6106E">
        <w:t>Presently, m</w:t>
      </w:r>
      <w:r w:rsidRPr="006718F1">
        <w:t>embership organisations often have semi-open membership for specific groups of specialists. The majority of the CSOs count less than twenty members</w:t>
      </w:r>
      <w:r w:rsidR="005262DE">
        <w:t xml:space="preserve">. A limiting factor is </w:t>
      </w:r>
      <w:r w:rsidRPr="006718F1">
        <w:t>the high rate of membership fees taxation.</w:t>
      </w:r>
    </w:p>
    <w:p w14:paraId="7591A44F" w14:textId="77777777" w:rsidR="00C9255D" w:rsidRPr="006718F1" w:rsidRDefault="00C9255D" w:rsidP="00DB2EF0"/>
    <w:p w14:paraId="7591A450" w14:textId="77777777" w:rsidR="00C9255D" w:rsidRPr="006718F1" w:rsidRDefault="00C9255D" w:rsidP="00DB2EF0">
      <w:r w:rsidRPr="006718F1">
        <w:t>Due to the support modalities commonly used by donors</w:t>
      </w:r>
      <w:r w:rsidR="00E90B7E">
        <w:t>,</w:t>
      </w:r>
      <w:r w:rsidRPr="006718F1">
        <w:t xml:space="preserve"> many CSOs are not driven by their mission, but </w:t>
      </w:r>
      <w:r w:rsidR="005262DE">
        <w:t>are compelled</w:t>
      </w:r>
      <w:r w:rsidRPr="006718F1">
        <w:t xml:space="preserve"> to compete for short term project funding. The constant competition for funds, together with legally binding territorial restrictions for operations</w:t>
      </w:r>
      <w:r w:rsidR="00E90B7E">
        <w:t>,</w:t>
      </w:r>
      <w:r w:rsidRPr="006718F1">
        <w:t xml:space="preserve"> has given the Ukrainian civil society a </w:t>
      </w:r>
      <w:r w:rsidRPr="006718F1">
        <w:lastRenderedPageBreak/>
        <w:t>detached nature with limited collaboration and networking between CSOs.</w:t>
      </w:r>
      <w:r w:rsidRPr="006718F1">
        <w:rPr>
          <w:rStyle w:val="FootnoteReference"/>
        </w:rPr>
        <w:footnoteReference w:id="3"/>
      </w:r>
      <w:r w:rsidRPr="006718F1">
        <w:t xml:space="preserve"> </w:t>
      </w:r>
    </w:p>
    <w:p w14:paraId="7591A451" w14:textId="77777777" w:rsidR="00C9255D" w:rsidRPr="006718F1" w:rsidRDefault="00C9255D" w:rsidP="00DB2EF0"/>
    <w:p w14:paraId="7591A452" w14:textId="77777777" w:rsidR="00C9255D" w:rsidRPr="006718F1" w:rsidRDefault="005262DE" w:rsidP="00DB2EF0">
      <w:r>
        <w:t xml:space="preserve">There is some </w:t>
      </w:r>
      <w:r w:rsidR="00C9255D" w:rsidRPr="006718F1">
        <w:t xml:space="preserve">donor coordination </w:t>
      </w:r>
      <w:r>
        <w:t xml:space="preserve">on </w:t>
      </w:r>
      <w:r w:rsidR="00C9255D" w:rsidRPr="006718F1">
        <w:t xml:space="preserve">assistance to civil society, </w:t>
      </w:r>
      <w:r>
        <w:t xml:space="preserve">especially </w:t>
      </w:r>
      <w:r w:rsidR="00C9255D" w:rsidRPr="006718F1">
        <w:t xml:space="preserve">between UNDP, EC, Sida and Pact. </w:t>
      </w:r>
      <w:r>
        <w:t xml:space="preserve">An </w:t>
      </w:r>
      <w:r w:rsidR="00C9255D" w:rsidRPr="006718F1">
        <w:t>EC study from 2009 provides an overview of the key Ukrainian and international actors: “A mapping study of civil society in Ukraine.” A key challenge for the donor community would be to adhere to the Paris principles on ownership, alignment and harmonisation, when working with the same civil society partner</w:t>
      </w:r>
      <w:r>
        <w:t>s</w:t>
      </w:r>
      <w:r w:rsidR="00C9255D" w:rsidRPr="006718F1">
        <w:t>.</w:t>
      </w:r>
    </w:p>
    <w:p w14:paraId="7591A453" w14:textId="77777777" w:rsidR="00C9255D" w:rsidRPr="006718F1" w:rsidRDefault="00C9255D" w:rsidP="00DB2EF0"/>
    <w:p w14:paraId="7591A454" w14:textId="77777777" w:rsidR="00C9255D" w:rsidRPr="0035500C" w:rsidRDefault="00C9255D" w:rsidP="00DB2EF0">
      <w:pPr>
        <w:rPr>
          <w:b/>
          <w:sz w:val="28"/>
          <w:szCs w:val="28"/>
        </w:rPr>
      </w:pPr>
      <w:r w:rsidRPr="0035500C">
        <w:rPr>
          <w:b/>
          <w:sz w:val="28"/>
          <w:szCs w:val="28"/>
        </w:rPr>
        <w:t>3. Main achievements on the planned outputs</w:t>
      </w:r>
    </w:p>
    <w:p w14:paraId="7591A455" w14:textId="77777777" w:rsidR="00C9255D" w:rsidRPr="006718F1" w:rsidRDefault="00C9255D" w:rsidP="00DB2EF0"/>
    <w:p w14:paraId="7591A456" w14:textId="77777777" w:rsidR="00C9255D" w:rsidRPr="006718F1" w:rsidRDefault="00C9255D" w:rsidP="00DB2EF0">
      <w:r w:rsidRPr="006718F1">
        <w:t>The programme is moving well towards the planned objectives, outputs and indicators. Particular highlighted could be the national legal component, which has been fundamental for the coming second reading in the Parliament of the Draft Law on Civil Associations. Furthermore, the programme has with</w:t>
      </w:r>
      <w:r w:rsidR="00E90B7E">
        <w:t xml:space="preserve"> a</w:t>
      </w:r>
      <w:r w:rsidRPr="006718F1">
        <w:t xml:space="preserve"> smooth small-grant mechanism achieved considerable outreach to CSOs in seven oblast regions. The progress reports also provide many cases and examples from project activities at local levels, e.g. interactions between CSOs and local government bodies. Following</w:t>
      </w:r>
      <w:r w:rsidR="00E90B7E">
        <w:t xml:space="preserve"> is</w:t>
      </w:r>
      <w:r w:rsidRPr="006718F1">
        <w:t xml:space="preserve"> a summary of activities</w:t>
      </w:r>
      <w:r w:rsidR="0048099C">
        <w:t xml:space="preserve"> undertaken</w:t>
      </w:r>
      <w:r w:rsidRPr="006718F1">
        <w:t xml:space="preserve"> in relation to the planned objectives and outputs:</w:t>
      </w:r>
    </w:p>
    <w:p w14:paraId="7591A457" w14:textId="77777777" w:rsidR="00C9255D" w:rsidRPr="006718F1" w:rsidRDefault="00C9255D" w:rsidP="00DB2EF0"/>
    <w:p w14:paraId="7591A458" w14:textId="77777777" w:rsidR="00C9255D" w:rsidRPr="0035500C" w:rsidRDefault="00C9255D" w:rsidP="00DB2EF0">
      <w:pPr>
        <w:rPr>
          <w:i/>
        </w:rPr>
      </w:pPr>
      <w:r w:rsidRPr="0035500C">
        <w:rPr>
          <w:i/>
        </w:rPr>
        <w:t>Key achievements regarding strengthening CSO capacity (Output 1)</w:t>
      </w:r>
    </w:p>
    <w:p w14:paraId="7591A459" w14:textId="77777777" w:rsidR="00C9255D" w:rsidRPr="006718F1" w:rsidRDefault="00C9255D" w:rsidP="00DB2EF0"/>
    <w:p w14:paraId="7591A45A" w14:textId="77777777" w:rsidR="00B93C98" w:rsidRPr="006718F1" w:rsidRDefault="00B93C98" w:rsidP="0035500C">
      <w:pPr>
        <w:pStyle w:val="ListParagraph"/>
        <w:numPr>
          <w:ilvl w:val="0"/>
          <w:numId w:val="21"/>
        </w:numPr>
      </w:pPr>
      <w:r w:rsidRPr="006718F1">
        <w:t xml:space="preserve">A </w:t>
      </w:r>
      <w:r w:rsidRPr="0035500C">
        <w:rPr>
          <w:b/>
        </w:rPr>
        <w:t>small</w:t>
      </w:r>
      <w:r w:rsidR="004F123A" w:rsidRPr="0035500C">
        <w:rPr>
          <w:b/>
        </w:rPr>
        <w:t>-</w:t>
      </w:r>
      <w:r w:rsidRPr="0035500C">
        <w:rPr>
          <w:b/>
        </w:rPr>
        <w:t>grant mechanism</w:t>
      </w:r>
      <w:r w:rsidRPr="006718F1">
        <w:t xml:space="preserve"> has been established with public announcement and selection procedures with prior assessment of application and the organisation. Furthermore, </w:t>
      </w:r>
      <w:r>
        <w:t xml:space="preserve">the </w:t>
      </w:r>
      <w:r w:rsidRPr="006718F1">
        <w:t xml:space="preserve">CSDP team and the </w:t>
      </w:r>
      <w:r>
        <w:t>I</w:t>
      </w:r>
      <w:r w:rsidRPr="006718F1">
        <w:t xml:space="preserve">mplementing </w:t>
      </w:r>
      <w:r>
        <w:t>Partners</w:t>
      </w:r>
      <w:r w:rsidR="00E90B7E">
        <w:t xml:space="preserve"> are</w:t>
      </w:r>
      <w:r w:rsidRPr="006718F1">
        <w:t xml:space="preserve"> undertaking</w:t>
      </w:r>
      <w:r w:rsidR="00E90B7E">
        <w:t xml:space="preserve"> </w:t>
      </w:r>
      <w:r w:rsidRPr="006718F1">
        <w:t>site visits, monitoring, communication etc. with the selected grantees.</w:t>
      </w:r>
    </w:p>
    <w:p w14:paraId="7591A45B" w14:textId="77777777" w:rsidR="00C9255D" w:rsidRPr="006718F1" w:rsidRDefault="00C9255D" w:rsidP="0035500C">
      <w:pPr>
        <w:pStyle w:val="ListParagraph"/>
        <w:numPr>
          <w:ilvl w:val="0"/>
          <w:numId w:val="21"/>
        </w:numPr>
      </w:pPr>
      <w:r w:rsidRPr="0035500C">
        <w:rPr>
          <w:b/>
        </w:rPr>
        <w:t>Small grants</w:t>
      </w:r>
      <w:r w:rsidRPr="006718F1">
        <w:t>. In total, 106 projects have been awarded funding (until September 2011)</w:t>
      </w:r>
      <w:r w:rsidR="00BB400E">
        <w:t xml:space="preserve">. They have </w:t>
      </w:r>
      <w:r w:rsidRPr="006718F1">
        <w:t xml:space="preserve">been awarded to the following priority </w:t>
      </w:r>
      <w:r w:rsidR="0035500C">
        <w:t>themes</w:t>
      </w:r>
      <w:r w:rsidRPr="006718F1">
        <w:t>: Human rights, support to the vulnerable groups, and citizen participation.</w:t>
      </w:r>
    </w:p>
    <w:p w14:paraId="7591A45C" w14:textId="77777777" w:rsidR="00C9255D" w:rsidRPr="006718F1" w:rsidRDefault="00C9255D" w:rsidP="00DB2EF0"/>
    <w:tbl>
      <w:tblPr>
        <w:tblW w:w="7263" w:type="dxa"/>
        <w:tblInd w:w="779" w:type="dxa"/>
        <w:tblCellMar>
          <w:left w:w="70" w:type="dxa"/>
          <w:right w:w="70" w:type="dxa"/>
        </w:tblCellMar>
        <w:tblLook w:val="0000" w:firstRow="0" w:lastRow="0" w:firstColumn="0" w:lastColumn="0" w:noHBand="0" w:noVBand="0"/>
      </w:tblPr>
      <w:tblGrid>
        <w:gridCol w:w="2563"/>
        <w:gridCol w:w="1030"/>
        <w:gridCol w:w="1112"/>
        <w:gridCol w:w="1067"/>
        <w:gridCol w:w="1491"/>
      </w:tblGrid>
      <w:tr w:rsidR="00C9255D" w:rsidRPr="006718F1" w14:paraId="7591A45F" w14:textId="77777777" w:rsidTr="008A0D4B">
        <w:trPr>
          <w:trHeight w:val="372"/>
        </w:trPr>
        <w:tc>
          <w:tcPr>
            <w:tcW w:w="2563" w:type="dxa"/>
            <w:tcBorders>
              <w:top w:val="single" w:sz="8" w:space="0" w:color="auto"/>
              <w:left w:val="single" w:sz="8" w:space="0" w:color="auto"/>
              <w:bottom w:val="nil"/>
              <w:right w:val="nil"/>
            </w:tcBorders>
            <w:shd w:val="clear" w:color="auto" w:fill="C0C0C0"/>
            <w:noWrap/>
            <w:vAlign w:val="bottom"/>
          </w:tcPr>
          <w:p w14:paraId="7591A45D" w14:textId="77777777" w:rsidR="00C9255D" w:rsidRPr="006718F1" w:rsidRDefault="00C9255D" w:rsidP="00DB2EF0">
            <w:pPr>
              <w:rPr>
                <w:lang w:eastAsia="da-DK"/>
              </w:rPr>
            </w:pPr>
          </w:p>
        </w:tc>
        <w:tc>
          <w:tcPr>
            <w:tcW w:w="4700" w:type="dxa"/>
            <w:gridSpan w:val="4"/>
            <w:tcBorders>
              <w:top w:val="single" w:sz="8" w:space="0" w:color="auto"/>
              <w:left w:val="nil"/>
              <w:bottom w:val="nil"/>
              <w:right w:val="single" w:sz="8" w:space="0" w:color="000000"/>
            </w:tcBorders>
            <w:shd w:val="clear" w:color="auto" w:fill="C0C0C0"/>
            <w:noWrap/>
            <w:vAlign w:val="bottom"/>
          </w:tcPr>
          <w:p w14:paraId="7591A45E" w14:textId="77777777" w:rsidR="00C9255D" w:rsidRPr="006718F1" w:rsidRDefault="00C9255D" w:rsidP="00DB2EF0">
            <w:pPr>
              <w:rPr>
                <w:b/>
                <w:bCs/>
                <w:lang w:eastAsia="da-DK"/>
              </w:rPr>
            </w:pPr>
            <w:r w:rsidRPr="006718F1">
              <w:rPr>
                <w:b/>
                <w:bCs/>
                <w:lang w:eastAsia="da-DK"/>
              </w:rPr>
              <w:t xml:space="preserve">UNDP CSDP Grants </w:t>
            </w:r>
            <w:r w:rsidRPr="006718F1">
              <w:rPr>
                <w:lang w:eastAsia="da-DK"/>
              </w:rPr>
              <w:t>(as of September 2011)</w:t>
            </w:r>
          </w:p>
        </w:tc>
      </w:tr>
      <w:tr w:rsidR="00C9255D" w:rsidRPr="006718F1" w14:paraId="7591A465" w14:textId="77777777" w:rsidTr="008A0D4B">
        <w:trPr>
          <w:trHeight w:val="288"/>
        </w:trPr>
        <w:tc>
          <w:tcPr>
            <w:tcW w:w="256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591A460" w14:textId="77777777" w:rsidR="00C9255D" w:rsidRPr="006718F1" w:rsidRDefault="00C9255D" w:rsidP="0035500C">
            <w:pPr>
              <w:rPr>
                <w:lang w:eastAsia="da-DK"/>
              </w:rPr>
            </w:pPr>
            <w:r w:rsidRPr="006718F1">
              <w:rPr>
                <w:lang w:eastAsia="da-DK"/>
              </w:rPr>
              <w:t> </w:t>
            </w:r>
            <w:r w:rsidR="00BB400E">
              <w:rPr>
                <w:lang w:eastAsia="da-DK"/>
              </w:rPr>
              <w:t xml:space="preserve">Priority </w:t>
            </w:r>
            <w:r w:rsidR="0035500C">
              <w:rPr>
                <w:lang w:eastAsia="da-DK"/>
              </w:rPr>
              <w:t>Themes</w:t>
            </w:r>
          </w:p>
        </w:tc>
        <w:tc>
          <w:tcPr>
            <w:tcW w:w="1030" w:type="dxa"/>
            <w:tcBorders>
              <w:top w:val="single" w:sz="8" w:space="0" w:color="auto"/>
              <w:left w:val="nil"/>
              <w:bottom w:val="single" w:sz="4" w:space="0" w:color="auto"/>
              <w:right w:val="single" w:sz="4" w:space="0" w:color="auto"/>
            </w:tcBorders>
            <w:shd w:val="clear" w:color="auto" w:fill="auto"/>
            <w:noWrap/>
            <w:vAlign w:val="bottom"/>
          </w:tcPr>
          <w:p w14:paraId="7591A461" w14:textId="77777777" w:rsidR="00C9255D" w:rsidRPr="006718F1" w:rsidRDefault="00C9255D" w:rsidP="0035500C">
            <w:pPr>
              <w:jc w:val="center"/>
              <w:rPr>
                <w:lang w:eastAsia="da-DK"/>
              </w:rPr>
            </w:pPr>
            <w:r w:rsidRPr="006718F1">
              <w:rPr>
                <w:lang w:eastAsia="da-DK"/>
              </w:rPr>
              <w:t>1st round</w:t>
            </w:r>
          </w:p>
        </w:tc>
        <w:tc>
          <w:tcPr>
            <w:tcW w:w="1112" w:type="dxa"/>
            <w:tcBorders>
              <w:top w:val="single" w:sz="8" w:space="0" w:color="auto"/>
              <w:left w:val="nil"/>
              <w:bottom w:val="single" w:sz="4" w:space="0" w:color="auto"/>
              <w:right w:val="single" w:sz="4" w:space="0" w:color="auto"/>
            </w:tcBorders>
            <w:shd w:val="clear" w:color="auto" w:fill="auto"/>
            <w:noWrap/>
            <w:vAlign w:val="bottom"/>
          </w:tcPr>
          <w:p w14:paraId="7591A462" w14:textId="77777777" w:rsidR="00C9255D" w:rsidRPr="006718F1" w:rsidRDefault="00C9255D" w:rsidP="0035500C">
            <w:pPr>
              <w:jc w:val="center"/>
              <w:rPr>
                <w:lang w:eastAsia="da-DK"/>
              </w:rPr>
            </w:pPr>
            <w:r w:rsidRPr="006718F1">
              <w:rPr>
                <w:lang w:eastAsia="da-DK"/>
              </w:rPr>
              <w:t>2nd round</w:t>
            </w:r>
          </w:p>
        </w:tc>
        <w:tc>
          <w:tcPr>
            <w:tcW w:w="1067" w:type="dxa"/>
            <w:tcBorders>
              <w:top w:val="single" w:sz="8" w:space="0" w:color="auto"/>
              <w:left w:val="nil"/>
              <w:bottom w:val="single" w:sz="4" w:space="0" w:color="auto"/>
              <w:right w:val="single" w:sz="4" w:space="0" w:color="auto"/>
            </w:tcBorders>
            <w:shd w:val="clear" w:color="auto" w:fill="auto"/>
            <w:noWrap/>
            <w:vAlign w:val="bottom"/>
          </w:tcPr>
          <w:p w14:paraId="7591A463" w14:textId="77777777" w:rsidR="00C9255D" w:rsidRPr="006718F1" w:rsidRDefault="00C9255D" w:rsidP="0035500C">
            <w:pPr>
              <w:jc w:val="center"/>
              <w:rPr>
                <w:lang w:eastAsia="da-DK"/>
              </w:rPr>
            </w:pPr>
            <w:r w:rsidRPr="006718F1">
              <w:rPr>
                <w:lang w:eastAsia="da-DK"/>
              </w:rPr>
              <w:t>3rd round</w:t>
            </w:r>
          </w:p>
        </w:tc>
        <w:tc>
          <w:tcPr>
            <w:tcW w:w="1491" w:type="dxa"/>
            <w:tcBorders>
              <w:top w:val="single" w:sz="8" w:space="0" w:color="auto"/>
              <w:left w:val="nil"/>
              <w:bottom w:val="single" w:sz="4" w:space="0" w:color="auto"/>
              <w:right w:val="single" w:sz="8" w:space="0" w:color="auto"/>
            </w:tcBorders>
            <w:shd w:val="clear" w:color="auto" w:fill="auto"/>
            <w:noWrap/>
            <w:vAlign w:val="bottom"/>
          </w:tcPr>
          <w:p w14:paraId="7591A464" w14:textId="77777777" w:rsidR="00C9255D" w:rsidRPr="006718F1" w:rsidRDefault="00C9255D" w:rsidP="0035500C">
            <w:pPr>
              <w:jc w:val="center"/>
              <w:rPr>
                <w:lang w:eastAsia="da-DK"/>
              </w:rPr>
            </w:pPr>
            <w:r w:rsidRPr="006718F1">
              <w:rPr>
                <w:lang w:eastAsia="da-DK"/>
              </w:rPr>
              <w:t>Total per</w:t>
            </w:r>
            <w:r w:rsidR="0035500C">
              <w:rPr>
                <w:lang w:eastAsia="da-DK"/>
              </w:rPr>
              <w:t xml:space="preserve"> theme</w:t>
            </w:r>
          </w:p>
        </w:tc>
      </w:tr>
      <w:tr w:rsidR="00C9255D" w:rsidRPr="006718F1" w14:paraId="7591A46B" w14:textId="77777777" w:rsidTr="008A0D4B">
        <w:trPr>
          <w:trHeight w:val="288"/>
        </w:trPr>
        <w:tc>
          <w:tcPr>
            <w:tcW w:w="2563" w:type="dxa"/>
            <w:tcBorders>
              <w:top w:val="nil"/>
              <w:left w:val="single" w:sz="8" w:space="0" w:color="auto"/>
              <w:bottom w:val="single" w:sz="4" w:space="0" w:color="auto"/>
              <w:right w:val="single" w:sz="4" w:space="0" w:color="auto"/>
            </w:tcBorders>
            <w:shd w:val="clear" w:color="auto" w:fill="auto"/>
            <w:noWrap/>
            <w:vAlign w:val="bottom"/>
          </w:tcPr>
          <w:p w14:paraId="7591A466" w14:textId="77777777" w:rsidR="00C9255D" w:rsidRPr="006718F1" w:rsidRDefault="00C9255D" w:rsidP="00DB2EF0">
            <w:pPr>
              <w:rPr>
                <w:lang w:eastAsia="da-DK"/>
              </w:rPr>
            </w:pPr>
            <w:r w:rsidRPr="006718F1">
              <w:rPr>
                <w:lang w:eastAsia="da-DK"/>
              </w:rPr>
              <w:t>Vulnerable groups</w:t>
            </w:r>
          </w:p>
        </w:tc>
        <w:tc>
          <w:tcPr>
            <w:tcW w:w="1030" w:type="dxa"/>
            <w:tcBorders>
              <w:top w:val="nil"/>
              <w:left w:val="nil"/>
              <w:bottom w:val="single" w:sz="4" w:space="0" w:color="auto"/>
              <w:right w:val="single" w:sz="4" w:space="0" w:color="auto"/>
            </w:tcBorders>
            <w:shd w:val="clear" w:color="auto" w:fill="auto"/>
            <w:noWrap/>
            <w:vAlign w:val="bottom"/>
          </w:tcPr>
          <w:p w14:paraId="7591A467" w14:textId="77777777" w:rsidR="00C9255D" w:rsidRPr="006718F1" w:rsidRDefault="00C9255D" w:rsidP="0035500C">
            <w:pPr>
              <w:jc w:val="center"/>
              <w:rPr>
                <w:lang w:eastAsia="da-DK"/>
              </w:rPr>
            </w:pPr>
            <w:r w:rsidRPr="006718F1">
              <w:rPr>
                <w:lang w:eastAsia="da-DK"/>
              </w:rPr>
              <w:t>12</w:t>
            </w:r>
          </w:p>
        </w:tc>
        <w:tc>
          <w:tcPr>
            <w:tcW w:w="1112" w:type="dxa"/>
            <w:tcBorders>
              <w:top w:val="nil"/>
              <w:left w:val="nil"/>
              <w:bottom w:val="single" w:sz="4" w:space="0" w:color="auto"/>
              <w:right w:val="single" w:sz="4" w:space="0" w:color="auto"/>
            </w:tcBorders>
            <w:shd w:val="clear" w:color="auto" w:fill="auto"/>
            <w:noWrap/>
            <w:vAlign w:val="bottom"/>
          </w:tcPr>
          <w:p w14:paraId="7591A468" w14:textId="77777777" w:rsidR="00C9255D" w:rsidRPr="006718F1" w:rsidRDefault="00C9255D" w:rsidP="0035500C">
            <w:pPr>
              <w:jc w:val="center"/>
              <w:rPr>
                <w:lang w:eastAsia="da-DK"/>
              </w:rPr>
            </w:pPr>
            <w:r w:rsidRPr="006718F1">
              <w:rPr>
                <w:lang w:eastAsia="da-DK"/>
              </w:rPr>
              <w:t>16</w:t>
            </w:r>
          </w:p>
        </w:tc>
        <w:tc>
          <w:tcPr>
            <w:tcW w:w="1067" w:type="dxa"/>
            <w:tcBorders>
              <w:top w:val="nil"/>
              <w:left w:val="nil"/>
              <w:bottom w:val="single" w:sz="4" w:space="0" w:color="auto"/>
              <w:right w:val="single" w:sz="4" w:space="0" w:color="auto"/>
            </w:tcBorders>
            <w:shd w:val="clear" w:color="auto" w:fill="auto"/>
            <w:noWrap/>
            <w:vAlign w:val="bottom"/>
          </w:tcPr>
          <w:p w14:paraId="7591A469" w14:textId="77777777" w:rsidR="00C9255D" w:rsidRPr="006718F1" w:rsidRDefault="00C9255D" w:rsidP="0035500C">
            <w:pPr>
              <w:jc w:val="center"/>
              <w:rPr>
                <w:lang w:eastAsia="da-DK"/>
              </w:rPr>
            </w:pPr>
            <w:r w:rsidRPr="006718F1">
              <w:rPr>
                <w:lang w:eastAsia="da-DK"/>
              </w:rPr>
              <w:t>15</w:t>
            </w:r>
          </w:p>
        </w:tc>
        <w:tc>
          <w:tcPr>
            <w:tcW w:w="1491" w:type="dxa"/>
            <w:tcBorders>
              <w:top w:val="nil"/>
              <w:left w:val="nil"/>
              <w:bottom w:val="single" w:sz="4" w:space="0" w:color="auto"/>
              <w:right w:val="single" w:sz="8" w:space="0" w:color="auto"/>
            </w:tcBorders>
            <w:shd w:val="clear" w:color="auto" w:fill="auto"/>
            <w:noWrap/>
            <w:vAlign w:val="bottom"/>
          </w:tcPr>
          <w:p w14:paraId="7591A46A" w14:textId="77777777" w:rsidR="00C9255D" w:rsidRPr="006718F1" w:rsidRDefault="00C9255D" w:rsidP="0035500C">
            <w:pPr>
              <w:jc w:val="center"/>
              <w:rPr>
                <w:lang w:eastAsia="da-DK"/>
              </w:rPr>
            </w:pPr>
            <w:r w:rsidRPr="006718F1">
              <w:rPr>
                <w:lang w:eastAsia="da-DK"/>
              </w:rPr>
              <w:t>43</w:t>
            </w:r>
          </w:p>
        </w:tc>
      </w:tr>
      <w:tr w:rsidR="00C9255D" w:rsidRPr="006718F1" w14:paraId="7591A471" w14:textId="77777777" w:rsidTr="008A0D4B">
        <w:trPr>
          <w:trHeight w:val="288"/>
        </w:trPr>
        <w:tc>
          <w:tcPr>
            <w:tcW w:w="2563" w:type="dxa"/>
            <w:tcBorders>
              <w:top w:val="nil"/>
              <w:left w:val="single" w:sz="8" w:space="0" w:color="auto"/>
              <w:bottom w:val="single" w:sz="4" w:space="0" w:color="auto"/>
              <w:right w:val="single" w:sz="4" w:space="0" w:color="auto"/>
            </w:tcBorders>
            <w:shd w:val="clear" w:color="auto" w:fill="auto"/>
            <w:noWrap/>
            <w:vAlign w:val="bottom"/>
          </w:tcPr>
          <w:p w14:paraId="7591A46C" w14:textId="77777777" w:rsidR="00C9255D" w:rsidRPr="006718F1" w:rsidRDefault="00C9255D" w:rsidP="00DB2EF0">
            <w:pPr>
              <w:rPr>
                <w:lang w:eastAsia="da-DK"/>
              </w:rPr>
            </w:pPr>
            <w:r w:rsidRPr="006718F1">
              <w:rPr>
                <w:lang w:eastAsia="da-DK"/>
              </w:rPr>
              <w:t>Citizen Participation</w:t>
            </w:r>
          </w:p>
        </w:tc>
        <w:tc>
          <w:tcPr>
            <w:tcW w:w="1030" w:type="dxa"/>
            <w:tcBorders>
              <w:top w:val="nil"/>
              <w:left w:val="nil"/>
              <w:bottom w:val="single" w:sz="4" w:space="0" w:color="auto"/>
              <w:right w:val="single" w:sz="4" w:space="0" w:color="auto"/>
            </w:tcBorders>
            <w:shd w:val="clear" w:color="auto" w:fill="auto"/>
            <w:noWrap/>
            <w:vAlign w:val="bottom"/>
          </w:tcPr>
          <w:p w14:paraId="7591A46D" w14:textId="77777777" w:rsidR="00C9255D" w:rsidRPr="006718F1" w:rsidRDefault="00C9255D" w:rsidP="0035500C">
            <w:pPr>
              <w:jc w:val="center"/>
              <w:rPr>
                <w:lang w:eastAsia="da-DK"/>
              </w:rPr>
            </w:pPr>
            <w:r w:rsidRPr="006718F1">
              <w:rPr>
                <w:lang w:eastAsia="da-DK"/>
              </w:rPr>
              <w:t>10</w:t>
            </w:r>
          </w:p>
        </w:tc>
        <w:tc>
          <w:tcPr>
            <w:tcW w:w="1112" w:type="dxa"/>
            <w:tcBorders>
              <w:top w:val="nil"/>
              <w:left w:val="nil"/>
              <w:bottom w:val="single" w:sz="4" w:space="0" w:color="auto"/>
              <w:right w:val="single" w:sz="4" w:space="0" w:color="auto"/>
            </w:tcBorders>
            <w:shd w:val="clear" w:color="auto" w:fill="auto"/>
            <w:noWrap/>
            <w:vAlign w:val="bottom"/>
          </w:tcPr>
          <w:p w14:paraId="7591A46E" w14:textId="77777777" w:rsidR="00C9255D" w:rsidRPr="006718F1" w:rsidRDefault="00C9255D" w:rsidP="0035500C">
            <w:pPr>
              <w:jc w:val="center"/>
              <w:rPr>
                <w:lang w:eastAsia="da-DK"/>
              </w:rPr>
            </w:pPr>
            <w:r w:rsidRPr="006718F1">
              <w:rPr>
                <w:lang w:eastAsia="da-DK"/>
              </w:rPr>
              <w:t>15</w:t>
            </w:r>
          </w:p>
        </w:tc>
        <w:tc>
          <w:tcPr>
            <w:tcW w:w="1067" w:type="dxa"/>
            <w:tcBorders>
              <w:top w:val="nil"/>
              <w:left w:val="nil"/>
              <w:bottom w:val="single" w:sz="4" w:space="0" w:color="auto"/>
              <w:right w:val="single" w:sz="4" w:space="0" w:color="auto"/>
            </w:tcBorders>
            <w:shd w:val="clear" w:color="auto" w:fill="auto"/>
            <w:noWrap/>
            <w:vAlign w:val="bottom"/>
          </w:tcPr>
          <w:p w14:paraId="7591A46F" w14:textId="77777777" w:rsidR="00C9255D" w:rsidRPr="006718F1" w:rsidRDefault="00C9255D" w:rsidP="0035500C">
            <w:pPr>
              <w:jc w:val="center"/>
              <w:rPr>
                <w:lang w:eastAsia="da-DK"/>
              </w:rPr>
            </w:pPr>
            <w:r w:rsidRPr="006718F1">
              <w:rPr>
                <w:lang w:eastAsia="da-DK"/>
              </w:rPr>
              <w:t>9</w:t>
            </w:r>
          </w:p>
        </w:tc>
        <w:tc>
          <w:tcPr>
            <w:tcW w:w="1491" w:type="dxa"/>
            <w:tcBorders>
              <w:top w:val="nil"/>
              <w:left w:val="nil"/>
              <w:bottom w:val="single" w:sz="4" w:space="0" w:color="auto"/>
              <w:right w:val="single" w:sz="8" w:space="0" w:color="auto"/>
            </w:tcBorders>
            <w:shd w:val="clear" w:color="auto" w:fill="auto"/>
            <w:noWrap/>
            <w:vAlign w:val="bottom"/>
          </w:tcPr>
          <w:p w14:paraId="7591A470" w14:textId="77777777" w:rsidR="00C9255D" w:rsidRPr="006718F1" w:rsidRDefault="00C9255D" w:rsidP="0035500C">
            <w:pPr>
              <w:jc w:val="center"/>
              <w:rPr>
                <w:lang w:eastAsia="da-DK"/>
              </w:rPr>
            </w:pPr>
            <w:r w:rsidRPr="006718F1">
              <w:rPr>
                <w:lang w:eastAsia="da-DK"/>
              </w:rPr>
              <w:t>34</w:t>
            </w:r>
          </w:p>
        </w:tc>
      </w:tr>
      <w:tr w:rsidR="00C9255D" w:rsidRPr="006718F1" w14:paraId="7591A477" w14:textId="77777777" w:rsidTr="008A0D4B">
        <w:trPr>
          <w:trHeight w:val="300"/>
        </w:trPr>
        <w:tc>
          <w:tcPr>
            <w:tcW w:w="2563" w:type="dxa"/>
            <w:tcBorders>
              <w:top w:val="nil"/>
              <w:left w:val="single" w:sz="8" w:space="0" w:color="auto"/>
              <w:bottom w:val="single" w:sz="4" w:space="0" w:color="auto"/>
              <w:right w:val="single" w:sz="4" w:space="0" w:color="auto"/>
            </w:tcBorders>
            <w:shd w:val="clear" w:color="auto" w:fill="auto"/>
            <w:noWrap/>
            <w:vAlign w:val="bottom"/>
          </w:tcPr>
          <w:p w14:paraId="7591A472" w14:textId="77777777" w:rsidR="00C9255D" w:rsidRPr="006718F1" w:rsidRDefault="00C9255D" w:rsidP="00DB2EF0">
            <w:pPr>
              <w:rPr>
                <w:lang w:eastAsia="da-DK"/>
              </w:rPr>
            </w:pPr>
            <w:r w:rsidRPr="006718F1">
              <w:rPr>
                <w:lang w:eastAsia="da-DK"/>
              </w:rPr>
              <w:t>Human Rights</w:t>
            </w:r>
          </w:p>
        </w:tc>
        <w:tc>
          <w:tcPr>
            <w:tcW w:w="1030" w:type="dxa"/>
            <w:tcBorders>
              <w:top w:val="nil"/>
              <w:left w:val="nil"/>
              <w:bottom w:val="single" w:sz="4" w:space="0" w:color="auto"/>
              <w:right w:val="single" w:sz="4" w:space="0" w:color="auto"/>
            </w:tcBorders>
            <w:shd w:val="clear" w:color="auto" w:fill="auto"/>
            <w:noWrap/>
            <w:vAlign w:val="bottom"/>
          </w:tcPr>
          <w:p w14:paraId="7591A473" w14:textId="77777777" w:rsidR="00C9255D" w:rsidRPr="006718F1" w:rsidRDefault="00C9255D" w:rsidP="0035500C">
            <w:pPr>
              <w:jc w:val="center"/>
              <w:rPr>
                <w:lang w:eastAsia="da-DK"/>
              </w:rPr>
            </w:pPr>
            <w:r w:rsidRPr="006718F1">
              <w:rPr>
                <w:lang w:eastAsia="da-DK"/>
              </w:rPr>
              <w:t>14</w:t>
            </w:r>
          </w:p>
        </w:tc>
        <w:tc>
          <w:tcPr>
            <w:tcW w:w="1112" w:type="dxa"/>
            <w:tcBorders>
              <w:top w:val="nil"/>
              <w:left w:val="nil"/>
              <w:bottom w:val="single" w:sz="4" w:space="0" w:color="auto"/>
              <w:right w:val="single" w:sz="4" w:space="0" w:color="auto"/>
            </w:tcBorders>
            <w:shd w:val="clear" w:color="auto" w:fill="auto"/>
            <w:noWrap/>
            <w:vAlign w:val="bottom"/>
          </w:tcPr>
          <w:p w14:paraId="7591A474" w14:textId="77777777" w:rsidR="00C9255D" w:rsidRPr="006718F1" w:rsidRDefault="00C9255D" w:rsidP="0035500C">
            <w:pPr>
              <w:jc w:val="center"/>
              <w:rPr>
                <w:lang w:eastAsia="da-DK"/>
              </w:rPr>
            </w:pPr>
            <w:r w:rsidRPr="006718F1">
              <w:rPr>
                <w:lang w:eastAsia="da-DK"/>
              </w:rPr>
              <w:t>15</w:t>
            </w:r>
          </w:p>
        </w:tc>
        <w:tc>
          <w:tcPr>
            <w:tcW w:w="1067" w:type="dxa"/>
            <w:tcBorders>
              <w:top w:val="nil"/>
              <w:left w:val="nil"/>
              <w:bottom w:val="single" w:sz="4" w:space="0" w:color="auto"/>
              <w:right w:val="single" w:sz="4" w:space="0" w:color="auto"/>
            </w:tcBorders>
            <w:shd w:val="clear" w:color="auto" w:fill="auto"/>
            <w:noWrap/>
            <w:vAlign w:val="bottom"/>
          </w:tcPr>
          <w:p w14:paraId="7591A475" w14:textId="77777777" w:rsidR="00C9255D" w:rsidRPr="006718F1" w:rsidRDefault="00C9255D" w:rsidP="0035500C">
            <w:pPr>
              <w:jc w:val="center"/>
              <w:rPr>
                <w:lang w:eastAsia="da-DK"/>
              </w:rPr>
            </w:pPr>
          </w:p>
        </w:tc>
        <w:tc>
          <w:tcPr>
            <w:tcW w:w="1491" w:type="dxa"/>
            <w:tcBorders>
              <w:top w:val="nil"/>
              <w:left w:val="nil"/>
              <w:bottom w:val="single" w:sz="4" w:space="0" w:color="auto"/>
              <w:right w:val="single" w:sz="8" w:space="0" w:color="auto"/>
            </w:tcBorders>
            <w:shd w:val="clear" w:color="auto" w:fill="auto"/>
            <w:noWrap/>
            <w:vAlign w:val="bottom"/>
          </w:tcPr>
          <w:p w14:paraId="7591A476" w14:textId="77777777" w:rsidR="00C9255D" w:rsidRPr="006718F1" w:rsidRDefault="00C9255D" w:rsidP="0035500C">
            <w:pPr>
              <w:jc w:val="center"/>
              <w:rPr>
                <w:lang w:eastAsia="da-DK"/>
              </w:rPr>
            </w:pPr>
            <w:r w:rsidRPr="006718F1">
              <w:rPr>
                <w:lang w:eastAsia="da-DK"/>
              </w:rPr>
              <w:t>29</w:t>
            </w:r>
          </w:p>
        </w:tc>
      </w:tr>
      <w:tr w:rsidR="00C9255D" w:rsidRPr="006718F1" w14:paraId="7591A47D" w14:textId="77777777" w:rsidTr="008A0D4B">
        <w:trPr>
          <w:trHeight w:val="300"/>
        </w:trPr>
        <w:tc>
          <w:tcPr>
            <w:tcW w:w="25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591A478" w14:textId="77777777" w:rsidR="00C9255D" w:rsidRPr="0035500C" w:rsidRDefault="00C9255D" w:rsidP="00DB2EF0">
            <w:pPr>
              <w:rPr>
                <w:b/>
                <w:lang w:eastAsia="da-DK"/>
              </w:rPr>
            </w:pPr>
            <w:r w:rsidRPr="0035500C">
              <w:rPr>
                <w:b/>
                <w:lang w:eastAsia="da-DK"/>
              </w:rPr>
              <w:t> </w:t>
            </w:r>
            <w:r w:rsidR="0048099C" w:rsidRPr="0035500C">
              <w:rPr>
                <w:b/>
                <w:lang w:eastAsia="da-DK"/>
              </w:rPr>
              <w:t>Total</w:t>
            </w:r>
          </w:p>
        </w:tc>
        <w:tc>
          <w:tcPr>
            <w:tcW w:w="1030" w:type="dxa"/>
            <w:tcBorders>
              <w:top w:val="single" w:sz="8" w:space="0" w:color="auto"/>
              <w:left w:val="nil"/>
              <w:bottom w:val="single" w:sz="8" w:space="0" w:color="auto"/>
              <w:right w:val="single" w:sz="4" w:space="0" w:color="auto"/>
            </w:tcBorders>
            <w:shd w:val="clear" w:color="auto" w:fill="auto"/>
            <w:noWrap/>
            <w:vAlign w:val="bottom"/>
          </w:tcPr>
          <w:p w14:paraId="7591A479" w14:textId="77777777" w:rsidR="00C9255D" w:rsidRPr="0035500C" w:rsidRDefault="0048099C" w:rsidP="0035500C">
            <w:pPr>
              <w:jc w:val="center"/>
              <w:rPr>
                <w:b/>
                <w:lang w:eastAsia="da-DK"/>
              </w:rPr>
            </w:pPr>
            <w:r w:rsidRPr="0035500C">
              <w:rPr>
                <w:b/>
                <w:lang w:eastAsia="da-DK"/>
              </w:rPr>
              <w:t>36</w:t>
            </w:r>
          </w:p>
        </w:tc>
        <w:tc>
          <w:tcPr>
            <w:tcW w:w="1112" w:type="dxa"/>
            <w:tcBorders>
              <w:top w:val="single" w:sz="8" w:space="0" w:color="auto"/>
              <w:left w:val="nil"/>
              <w:bottom w:val="single" w:sz="8" w:space="0" w:color="auto"/>
              <w:right w:val="single" w:sz="4" w:space="0" w:color="auto"/>
            </w:tcBorders>
            <w:shd w:val="clear" w:color="auto" w:fill="auto"/>
            <w:noWrap/>
            <w:vAlign w:val="bottom"/>
          </w:tcPr>
          <w:p w14:paraId="7591A47A" w14:textId="77777777" w:rsidR="00C9255D" w:rsidRPr="0035500C" w:rsidRDefault="0048099C" w:rsidP="0035500C">
            <w:pPr>
              <w:jc w:val="center"/>
              <w:rPr>
                <w:b/>
                <w:lang w:eastAsia="da-DK"/>
              </w:rPr>
            </w:pPr>
            <w:r w:rsidRPr="0035500C">
              <w:rPr>
                <w:b/>
                <w:lang w:eastAsia="da-DK"/>
              </w:rPr>
              <w:t>46</w:t>
            </w:r>
          </w:p>
        </w:tc>
        <w:tc>
          <w:tcPr>
            <w:tcW w:w="1067" w:type="dxa"/>
            <w:tcBorders>
              <w:top w:val="single" w:sz="8" w:space="0" w:color="auto"/>
              <w:left w:val="nil"/>
              <w:bottom w:val="single" w:sz="8" w:space="0" w:color="auto"/>
              <w:right w:val="single" w:sz="4" w:space="0" w:color="auto"/>
            </w:tcBorders>
            <w:shd w:val="clear" w:color="auto" w:fill="auto"/>
            <w:noWrap/>
            <w:vAlign w:val="bottom"/>
          </w:tcPr>
          <w:p w14:paraId="7591A47B" w14:textId="77777777" w:rsidR="00C9255D" w:rsidRPr="0035500C" w:rsidRDefault="0048099C" w:rsidP="0035500C">
            <w:pPr>
              <w:jc w:val="center"/>
              <w:rPr>
                <w:b/>
                <w:bCs/>
                <w:lang w:eastAsia="da-DK"/>
              </w:rPr>
            </w:pPr>
            <w:r w:rsidRPr="0035500C">
              <w:rPr>
                <w:b/>
                <w:lang w:eastAsia="da-DK"/>
              </w:rPr>
              <w:t>24</w:t>
            </w:r>
          </w:p>
        </w:tc>
        <w:tc>
          <w:tcPr>
            <w:tcW w:w="1491" w:type="dxa"/>
            <w:tcBorders>
              <w:top w:val="single" w:sz="8" w:space="0" w:color="auto"/>
              <w:left w:val="nil"/>
              <w:bottom w:val="single" w:sz="8" w:space="0" w:color="auto"/>
              <w:right w:val="single" w:sz="8" w:space="0" w:color="auto"/>
            </w:tcBorders>
            <w:shd w:val="clear" w:color="auto" w:fill="auto"/>
            <w:noWrap/>
            <w:vAlign w:val="bottom"/>
          </w:tcPr>
          <w:p w14:paraId="7591A47C" w14:textId="77777777" w:rsidR="00C9255D" w:rsidRPr="0035500C" w:rsidRDefault="00C9255D" w:rsidP="0035500C">
            <w:pPr>
              <w:jc w:val="center"/>
              <w:rPr>
                <w:b/>
                <w:lang w:eastAsia="da-DK"/>
              </w:rPr>
            </w:pPr>
            <w:r w:rsidRPr="0035500C">
              <w:rPr>
                <w:b/>
                <w:lang w:eastAsia="da-DK"/>
              </w:rPr>
              <w:t>106</w:t>
            </w:r>
          </w:p>
        </w:tc>
      </w:tr>
    </w:tbl>
    <w:p w14:paraId="7591A47E" w14:textId="77777777" w:rsidR="00C9255D" w:rsidRPr="006718F1" w:rsidRDefault="00C9255D" w:rsidP="00DB2EF0"/>
    <w:p w14:paraId="7591A47F" w14:textId="77777777" w:rsidR="00C9255D" w:rsidRDefault="00C9255D" w:rsidP="0035500C">
      <w:pPr>
        <w:pStyle w:val="ListParagraph"/>
        <w:numPr>
          <w:ilvl w:val="0"/>
          <w:numId w:val="21"/>
        </w:numPr>
      </w:pPr>
      <w:r w:rsidRPr="006718F1">
        <w:t>As of July 2011 about 7,700 individuals in 7 regions directly benefitted</w:t>
      </w:r>
      <w:r w:rsidR="00204371">
        <w:t xml:space="preserve"> from</w:t>
      </w:r>
      <w:r w:rsidRPr="006718F1">
        <w:t xml:space="preserve"> </w:t>
      </w:r>
      <w:r w:rsidR="00BB400E">
        <w:t xml:space="preserve">these </w:t>
      </w:r>
      <w:r w:rsidRPr="006718F1">
        <w:t>106 grant projects</w:t>
      </w:r>
      <w:r w:rsidR="00BB400E">
        <w:t>. P</w:t>
      </w:r>
      <w:r w:rsidRPr="006718F1">
        <w:t>eople’s rights were protected, interests advocated, services provided</w:t>
      </w:r>
      <w:r w:rsidR="00204371">
        <w:t xml:space="preserve"> and</w:t>
      </w:r>
      <w:r w:rsidRPr="006718F1">
        <w:t xml:space="preserve"> knowledge and skills enhanced.</w:t>
      </w:r>
    </w:p>
    <w:p w14:paraId="7591A480" w14:textId="77777777" w:rsidR="00C9255D" w:rsidRPr="006718F1" w:rsidRDefault="00C9255D" w:rsidP="00DB2EF0"/>
    <w:p w14:paraId="7591A481" w14:textId="77777777" w:rsidR="00C9255D" w:rsidRDefault="00BB400E" w:rsidP="0035500C">
      <w:pPr>
        <w:pStyle w:val="ListParagraph"/>
        <w:numPr>
          <w:ilvl w:val="0"/>
          <w:numId w:val="21"/>
        </w:numPr>
      </w:pPr>
      <w:r>
        <w:t>A t</w:t>
      </w:r>
      <w:r w:rsidR="00C9255D" w:rsidRPr="006718F1">
        <w:t>otal of 52 decisions were made by local and regional authorities with citizen participation and input on such areas as regional and local policies, strategic planning, local budgets, utility and housing services provision, social support, environment, urban planning and rural community development.</w:t>
      </w:r>
    </w:p>
    <w:p w14:paraId="7591A482" w14:textId="77777777" w:rsidR="004F123A" w:rsidRDefault="004F123A" w:rsidP="00DB2EF0">
      <w:pPr>
        <w:pStyle w:val="ListParagraph"/>
      </w:pPr>
    </w:p>
    <w:p w14:paraId="7591A483" w14:textId="77777777" w:rsidR="004F123A" w:rsidRPr="004F123A" w:rsidRDefault="004F123A" w:rsidP="0035500C">
      <w:pPr>
        <w:pStyle w:val="ListParagraph"/>
        <w:numPr>
          <w:ilvl w:val="0"/>
          <w:numId w:val="21"/>
        </w:numPr>
      </w:pPr>
      <w:r w:rsidRPr="004F123A">
        <w:lastRenderedPageBreak/>
        <w:t xml:space="preserve">Through the projects supported by the small grants there have thus been achievements concerning promoting the rights of vulnerable groups, humanisation of the system of enforcement of punishment an enhancement of citizen’s involvement into the process of decision making on the local level, raised awareness and participation, local advocacy and information dissemination. </w:t>
      </w:r>
      <w:r w:rsidR="00B405DA">
        <w:t xml:space="preserve">There is scattered documentation through grantees reports and monitoring visits, but results and </w:t>
      </w:r>
      <w:r w:rsidRPr="004F123A">
        <w:t>impacts have, however</w:t>
      </w:r>
      <w:r w:rsidR="00204371">
        <w:t>,</w:t>
      </w:r>
      <w:r w:rsidRPr="004F123A">
        <w:t xml:space="preserve"> not yet been systematically documented. </w:t>
      </w:r>
    </w:p>
    <w:p w14:paraId="7591A484" w14:textId="77777777" w:rsidR="00C9255D" w:rsidRPr="006718F1" w:rsidRDefault="00C9255D" w:rsidP="00DB2EF0"/>
    <w:p w14:paraId="7591A485" w14:textId="77777777" w:rsidR="00C9255D" w:rsidRPr="006718F1" w:rsidRDefault="00C9255D" w:rsidP="0035500C">
      <w:pPr>
        <w:pStyle w:val="ListParagraph"/>
        <w:numPr>
          <w:ilvl w:val="0"/>
          <w:numId w:val="21"/>
        </w:numPr>
      </w:pPr>
      <w:r w:rsidRPr="0035500C">
        <w:t>Training by national NGOs</w:t>
      </w:r>
      <w:r w:rsidRPr="006718F1">
        <w:t xml:space="preserve">. The </w:t>
      </w:r>
      <w:r w:rsidR="00856FD7">
        <w:t xml:space="preserve">Implementing Partner (IP) </w:t>
      </w:r>
      <w:r w:rsidRPr="006718F1">
        <w:t>CCC Creative Center has conducted two four-day training and networking events for grantees – one for each group of the CSOs implementing projects in the same thematic area. The training programmes were designed to meet the identified needs and expectations of grantees to the extent possible.</w:t>
      </w:r>
      <w:r w:rsidRPr="006718F1">
        <w:br/>
      </w:r>
      <w:r w:rsidRPr="006718F1">
        <w:br/>
        <w:t>CCC conducted 4 training and networking events for 80 leaders of 44 CSO partners.</w:t>
      </w:r>
      <w:r w:rsidR="0035500C">
        <w:t xml:space="preserve"> </w:t>
      </w:r>
      <w:r w:rsidR="00FD751F">
        <w:t>Until now</w:t>
      </w:r>
      <w:r w:rsidR="00856FD7">
        <w:t xml:space="preserve"> the other IP, </w:t>
      </w:r>
      <w:r w:rsidRPr="006718F1">
        <w:t xml:space="preserve">ISAR “Ednannia” </w:t>
      </w:r>
      <w:r w:rsidR="00FD751F">
        <w:t xml:space="preserve">has </w:t>
      </w:r>
      <w:r w:rsidRPr="006718F1">
        <w:t>organized 2 training and networking events for 56 leaders of 30 CSO partners.</w:t>
      </w:r>
      <w:r w:rsidR="00FD751F" w:rsidRPr="00FD751F">
        <w:t xml:space="preserve"> </w:t>
      </w:r>
      <w:r w:rsidR="00FD751F" w:rsidRPr="006718F1">
        <w:t>The</w:t>
      </w:r>
      <w:r w:rsidR="00FD751F">
        <w:t xml:space="preserve"> CSOs </w:t>
      </w:r>
      <w:r w:rsidR="00FD751F" w:rsidRPr="006718F1">
        <w:t>have appreciated the courses on strategic planning, communication and media, results and impact among others</w:t>
      </w:r>
      <w:r w:rsidR="00FD751F">
        <w:t xml:space="preserve"> </w:t>
      </w:r>
    </w:p>
    <w:p w14:paraId="7591A486" w14:textId="77777777" w:rsidR="00C9255D" w:rsidRPr="006718F1" w:rsidRDefault="00C9255D" w:rsidP="0035500C">
      <w:pPr>
        <w:pStyle w:val="ListParagraph"/>
        <w:ind w:left="360"/>
      </w:pPr>
    </w:p>
    <w:p w14:paraId="7591A487" w14:textId="77777777" w:rsidR="00C9255D" w:rsidRPr="006718F1" w:rsidRDefault="00C9255D" w:rsidP="0035500C">
      <w:pPr>
        <w:pStyle w:val="ListParagraph"/>
        <w:numPr>
          <w:ilvl w:val="0"/>
          <w:numId w:val="21"/>
        </w:numPr>
      </w:pPr>
      <w:r w:rsidRPr="0035500C">
        <w:t xml:space="preserve">International Study Tours </w:t>
      </w:r>
      <w:r w:rsidRPr="006718F1">
        <w:t>organised by</w:t>
      </w:r>
      <w:r w:rsidRPr="0035500C">
        <w:t xml:space="preserve"> </w:t>
      </w:r>
      <w:r w:rsidRPr="006718F1">
        <w:t>CSDP/UNDP to Czech Republic</w:t>
      </w:r>
      <w:r w:rsidR="008C3332">
        <w:t xml:space="preserve">. There were </w:t>
      </w:r>
      <w:r w:rsidRPr="006718F1">
        <w:t>21</w:t>
      </w:r>
      <w:r w:rsidR="008C3332">
        <w:t xml:space="preserve"> participants from </w:t>
      </w:r>
      <w:r w:rsidRPr="006718F1">
        <w:t>CSO</w:t>
      </w:r>
      <w:r w:rsidR="008C3332">
        <w:t xml:space="preserve">s and </w:t>
      </w:r>
      <w:r w:rsidRPr="006718F1">
        <w:t xml:space="preserve">3 from </w:t>
      </w:r>
      <w:r w:rsidR="008C3332">
        <w:t>g</w:t>
      </w:r>
      <w:r w:rsidRPr="006718F1">
        <w:t xml:space="preserve">overnment). The topic was </w:t>
      </w:r>
      <w:r w:rsidR="008C3332">
        <w:t>c</w:t>
      </w:r>
      <w:r w:rsidRPr="006718F1">
        <w:t xml:space="preserve">itizen </w:t>
      </w:r>
      <w:r w:rsidR="008C3332">
        <w:t>p</w:t>
      </w:r>
      <w:r w:rsidRPr="006718F1">
        <w:t>articipation in local and national decision-making. Furthermore, visit to Copenhagen organized by the Danish Institute of Human Rights (DIHR), which also was appreciated by the 23 participants.</w:t>
      </w:r>
    </w:p>
    <w:p w14:paraId="7591A488" w14:textId="77777777" w:rsidR="00C9255D" w:rsidRPr="006718F1" w:rsidRDefault="00C9255D" w:rsidP="0035500C">
      <w:pPr>
        <w:pStyle w:val="ListParagraph"/>
        <w:ind w:left="360"/>
      </w:pPr>
    </w:p>
    <w:p w14:paraId="7591A489" w14:textId="77777777" w:rsidR="00C9255D" w:rsidRPr="006718F1" w:rsidRDefault="00C9255D" w:rsidP="0035500C">
      <w:pPr>
        <w:pStyle w:val="ListParagraph"/>
        <w:numPr>
          <w:ilvl w:val="0"/>
          <w:numId w:val="21"/>
        </w:numPr>
      </w:pPr>
      <w:r w:rsidRPr="006718F1">
        <w:t>UNDP’s partner,</w:t>
      </w:r>
      <w:r w:rsidRPr="0035500C">
        <w:t xml:space="preserve"> DIHR, </w:t>
      </w:r>
      <w:r w:rsidRPr="006718F1">
        <w:t xml:space="preserve">has provided 4 training courses for CSDP grantees from the seven oblasts: </w:t>
      </w:r>
    </w:p>
    <w:p w14:paraId="7591A48A" w14:textId="77777777" w:rsidR="00C9255D" w:rsidRPr="006718F1" w:rsidRDefault="00C9255D" w:rsidP="0035500C">
      <w:pPr>
        <w:pStyle w:val="ListParagraph"/>
        <w:numPr>
          <w:ilvl w:val="0"/>
          <w:numId w:val="24"/>
        </w:numPr>
      </w:pPr>
      <w:r w:rsidRPr="006718F1">
        <w:t>Approximately 100 representatives of the 50 grantee organizations obtained new knowledge and skills in Human Rights Based Approach</w:t>
      </w:r>
      <w:r w:rsidR="008C3332">
        <w:t xml:space="preserve">. </w:t>
      </w:r>
      <w:r w:rsidRPr="006718F1">
        <w:t xml:space="preserve">The training has provided knowledge about the concept as well as how to apply </w:t>
      </w:r>
      <w:r w:rsidR="00351CBB">
        <w:t>a right based approach in</w:t>
      </w:r>
      <w:r w:rsidRPr="006718F1">
        <w:t xml:space="preserve"> protecting vulnerable groups</w:t>
      </w:r>
      <w:r w:rsidR="00351CBB">
        <w:t>, i</w:t>
      </w:r>
      <w:r w:rsidRPr="006718F1">
        <w:t xml:space="preserve">mproving public participation and access to information. </w:t>
      </w:r>
      <w:r w:rsidR="00351CBB">
        <w:t>A</w:t>
      </w:r>
      <w:r w:rsidRPr="006718F1">
        <w:t xml:space="preserve"> lager event</w:t>
      </w:r>
      <w:r w:rsidR="00351CBB">
        <w:t xml:space="preserve"> remains to</w:t>
      </w:r>
      <w:r w:rsidRPr="006718F1">
        <w:t xml:space="preserve"> take place at the end of 2011.</w:t>
      </w:r>
    </w:p>
    <w:p w14:paraId="7591A48B" w14:textId="77777777" w:rsidR="00C9255D" w:rsidRPr="006718F1" w:rsidRDefault="00C9255D" w:rsidP="0035500C">
      <w:pPr>
        <w:pStyle w:val="ListParagraph"/>
        <w:numPr>
          <w:ilvl w:val="0"/>
          <w:numId w:val="24"/>
        </w:numPr>
      </w:pPr>
      <w:r w:rsidRPr="006718F1">
        <w:t>The work of the DIHR trainers received favourable comments and assessment among the participants.</w:t>
      </w:r>
    </w:p>
    <w:p w14:paraId="7591A48C" w14:textId="77777777" w:rsidR="00C9255D" w:rsidRDefault="00C9255D" w:rsidP="0035500C">
      <w:pPr>
        <w:pStyle w:val="ListParagraph"/>
        <w:numPr>
          <w:ilvl w:val="0"/>
          <w:numId w:val="24"/>
        </w:numPr>
      </w:pPr>
      <w:r w:rsidRPr="006718F1">
        <w:t xml:space="preserve">According to DIHR, the participants showed a strong dedication to advocate the interests of their target groups to the public as well as to the authorities. They are dedicated in giving a voice to the speechless. </w:t>
      </w:r>
      <w:r w:rsidR="00351CBB">
        <w:t>It should also be n</w:t>
      </w:r>
      <w:r w:rsidRPr="006718F1">
        <w:t>oticed that the median age of 36 years respond to the need for obtaining new leaders within the CSO community.</w:t>
      </w:r>
    </w:p>
    <w:p w14:paraId="7591A48D" w14:textId="77777777" w:rsidR="00C9255D" w:rsidRPr="006718F1" w:rsidRDefault="00C9255D" w:rsidP="00DB2EF0"/>
    <w:p w14:paraId="7591A48E" w14:textId="77777777" w:rsidR="00C9255D" w:rsidRPr="00A90881" w:rsidRDefault="00C9255D" w:rsidP="00DB2EF0">
      <w:pPr>
        <w:rPr>
          <w:b/>
          <w:i/>
        </w:rPr>
      </w:pPr>
      <w:r w:rsidRPr="00A90881">
        <w:rPr>
          <w:i/>
        </w:rPr>
        <w:t>Key achievements regarding an enabling legal framework for</w:t>
      </w:r>
      <w:r w:rsidR="00351CBB">
        <w:rPr>
          <w:i/>
        </w:rPr>
        <w:t xml:space="preserve"> the</w:t>
      </w:r>
      <w:r w:rsidRPr="00A90881">
        <w:rPr>
          <w:i/>
        </w:rPr>
        <w:t xml:space="preserve"> civil society (Output 2)</w:t>
      </w:r>
    </w:p>
    <w:p w14:paraId="7591A48F" w14:textId="77777777" w:rsidR="00C9255D" w:rsidRPr="006718F1" w:rsidRDefault="00C9255D" w:rsidP="00DB2EF0"/>
    <w:p w14:paraId="7591A490" w14:textId="77777777" w:rsidR="00C9255D" w:rsidRPr="006718F1" w:rsidRDefault="0025727F" w:rsidP="00A90881">
      <w:pPr>
        <w:pStyle w:val="ListParagraph"/>
        <w:numPr>
          <w:ilvl w:val="0"/>
          <w:numId w:val="21"/>
        </w:numPr>
      </w:pPr>
      <w:r>
        <w:t xml:space="preserve">The </w:t>
      </w:r>
      <w:r w:rsidR="00C9255D" w:rsidRPr="006718F1">
        <w:t>CSDP programme has supported the analytical, awareness-raising and advocacy efforts that contributed to the adoption of the draft ‘</w:t>
      </w:r>
      <w:r w:rsidR="00C9255D" w:rsidRPr="00A90881">
        <w:t>Law on Civil Associations</w:t>
      </w:r>
      <w:r w:rsidR="00C9255D" w:rsidRPr="006718F1">
        <w:t>’ by the Parliament in the first reading in May 2011</w:t>
      </w:r>
      <w:r w:rsidR="00111C7A">
        <w:t>. This will h</w:t>
      </w:r>
      <w:r w:rsidR="00C9255D" w:rsidRPr="006718F1">
        <w:t>opefully lead to the adaption of the Draft Law on Civil Associations in the Parliament at the end of 2011.</w:t>
      </w:r>
    </w:p>
    <w:p w14:paraId="7591A491" w14:textId="77777777" w:rsidR="00C9255D" w:rsidRPr="006718F1" w:rsidRDefault="00C9255D" w:rsidP="00A90881">
      <w:pPr>
        <w:pStyle w:val="ListParagraph"/>
        <w:ind w:left="360"/>
      </w:pPr>
    </w:p>
    <w:p w14:paraId="7591A492" w14:textId="77777777" w:rsidR="00C9255D" w:rsidRPr="006718F1" w:rsidRDefault="00C9255D" w:rsidP="00A90881">
      <w:pPr>
        <w:pStyle w:val="ListParagraph"/>
        <w:numPr>
          <w:ilvl w:val="0"/>
          <w:numId w:val="21"/>
        </w:numPr>
      </w:pPr>
      <w:r w:rsidRPr="006718F1">
        <w:t xml:space="preserve">Overall, the </w:t>
      </w:r>
      <w:r w:rsidRPr="00A90881">
        <w:t>White Paper</w:t>
      </w:r>
      <w:r w:rsidRPr="006718F1">
        <w:t xml:space="preserve"> “</w:t>
      </w:r>
      <w:r w:rsidRPr="00A90881">
        <w:t>Reforming Legal Environment for the Civil Society Development in Ukraine</w:t>
      </w:r>
      <w:r w:rsidRPr="006718F1">
        <w:t>” has been a quality product, which has been developed and presented to a wide community of state and government officials, civil society representatives and international donors. The Paper has identified key legal bottlenecks which need to be addressed in order to create a more enabling environment for CSOs. It was facilitated by the Ukrainian Center for Independent Political Research, which has outlined UNDP strengths on collaboration with national legal experts.</w:t>
      </w:r>
    </w:p>
    <w:p w14:paraId="7591A493" w14:textId="77777777" w:rsidR="00C9255D" w:rsidRPr="006718F1" w:rsidRDefault="00C9255D" w:rsidP="00A90881">
      <w:pPr>
        <w:pStyle w:val="ListParagraph"/>
        <w:ind w:left="360"/>
      </w:pPr>
    </w:p>
    <w:p w14:paraId="7591A494" w14:textId="77777777" w:rsidR="00C9255D" w:rsidRPr="006718F1" w:rsidRDefault="00C9255D" w:rsidP="00A90881">
      <w:pPr>
        <w:pStyle w:val="ListParagraph"/>
        <w:numPr>
          <w:ilvl w:val="0"/>
          <w:numId w:val="21"/>
        </w:numPr>
      </w:pPr>
      <w:r w:rsidRPr="006718F1">
        <w:t>The presentation of the White Paper took place on 8 July 2011, where a conference was attended by 80 representatives of various state institutions and branches of power. This was a good timing prior to the second reading in</w:t>
      </w:r>
      <w:r w:rsidR="00111C7A">
        <w:t xml:space="preserve"> the</w:t>
      </w:r>
      <w:r w:rsidRPr="006718F1">
        <w:t xml:space="preserve"> Parliament of the draft Law on Civic Associations.</w:t>
      </w:r>
    </w:p>
    <w:p w14:paraId="7591A495" w14:textId="77777777" w:rsidR="00C9255D" w:rsidRPr="006718F1" w:rsidRDefault="00C9255D" w:rsidP="00A90881">
      <w:pPr>
        <w:pStyle w:val="ListParagraph"/>
        <w:ind w:left="360"/>
      </w:pPr>
    </w:p>
    <w:p w14:paraId="7591A496" w14:textId="77777777" w:rsidR="00C9255D" w:rsidRPr="006718F1" w:rsidRDefault="00C9255D" w:rsidP="00A90881">
      <w:pPr>
        <w:pStyle w:val="ListParagraph"/>
        <w:numPr>
          <w:ilvl w:val="0"/>
          <w:numId w:val="21"/>
        </w:numPr>
      </w:pPr>
      <w:r w:rsidRPr="006718F1">
        <w:t xml:space="preserve">CSDP’s legal component has </w:t>
      </w:r>
      <w:r w:rsidR="00111C7A">
        <w:t xml:space="preserve">applied </w:t>
      </w:r>
      <w:r w:rsidRPr="006718F1">
        <w:t>UNDP’</w:t>
      </w:r>
      <w:r w:rsidR="00111C7A">
        <w:t xml:space="preserve">s </w:t>
      </w:r>
      <w:r w:rsidRPr="006718F1">
        <w:t>comparative advantage with good and frequent contacts with relevant government institutions, e.g. Secretariat of the Cabinet of Ministers, the Administration of the President</w:t>
      </w:r>
      <w:r w:rsidR="00111C7A">
        <w:t xml:space="preserve"> and</w:t>
      </w:r>
      <w:r w:rsidRPr="006718F1">
        <w:t xml:space="preserve"> </w:t>
      </w:r>
      <w:r w:rsidR="00111C7A">
        <w:t xml:space="preserve">the </w:t>
      </w:r>
      <w:r w:rsidRPr="006718F1">
        <w:t>Parliament among others.</w:t>
      </w:r>
    </w:p>
    <w:p w14:paraId="7591A497" w14:textId="77777777" w:rsidR="00C9255D" w:rsidRPr="006718F1" w:rsidRDefault="00C9255D" w:rsidP="00DB2EF0"/>
    <w:p w14:paraId="7591A498" w14:textId="77777777" w:rsidR="00C9255D" w:rsidRPr="00A90881" w:rsidRDefault="000D3ABC" w:rsidP="00DB2EF0">
      <w:pPr>
        <w:rPr>
          <w:b/>
          <w:sz w:val="28"/>
          <w:szCs w:val="28"/>
        </w:rPr>
      </w:pPr>
      <w:r w:rsidRPr="00A90881">
        <w:rPr>
          <w:b/>
          <w:sz w:val="28"/>
          <w:szCs w:val="28"/>
        </w:rPr>
        <w:t>4</w:t>
      </w:r>
      <w:r w:rsidR="00C9255D" w:rsidRPr="00A90881">
        <w:rPr>
          <w:b/>
          <w:sz w:val="28"/>
          <w:szCs w:val="28"/>
        </w:rPr>
        <w:t>. CSOs advocacy, service delivery and capacity development</w:t>
      </w:r>
    </w:p>
    <w:p w14:paraId="7591A499" w14:textId="77777777" w:rsidR="00C9255D" w:rsidRPr="006718F1" w:rsidRDefault="00C9255D" w:rsidP="00DB2EF0"/>
    <w:p w14:paraId="7591A49A" w14:textId="77777777" w:rsidR="00C9255D" w:rsidRPr="006718F1" w:rsidRDefault="00C9255D" w:rsidP="00DB2EF0">
      <w:r w:rsidRPr="006718F1">
        <w:t xml:space="preserve">The interrelationship between service delivery, capacity development and advocacy has been emphasised in Danida’s Strategy for Support to Civil Society (2008). </w:t>
      </w:r>
      <w:r w:rsidR="004F123A">
        <w:t>The review will therefore in this chapter</w:t>
      </w:r>
      <w:r w:rsidR="000D3ABC">
        <w:t xml:space="preserve"> focus on</w:t>
      </w:r>
      <w:r w:rsidR="004F123A">
        <w:t xml:space="preserve"> </w:t>
      </w:r>
      <w:r w:rsidR="000D3ABC">
        <w:t>how the CSDP has followed</w:t>
      </w:r>
      <w:r w:rsidR="00CD5F51">
        <w:t xml:space="preserve"> </w:t>
      </w:r>
      <w:r w:rsidR="000D3ABC">
        <w:t>requirements in the project document concerning a right</w:t>
      </w:r>
      <w:r w:rsidR="00CD5F51">
        <w:t>s-</w:t>
      </w:r>
      <w:r w:rsidR="000D3ABC">
        <w:t xml:space="preserve">based approach and </w:t>
      </w:r>
      <w:r w:rsidRPr="006718F1">
        <w:t>advocacy, service delivery and capacity development.</w:t>
      </w:r>
      <w:r w:rsidR="000D3ABC">
        <w:t xml:space="preserve"> (Chapter 9 will deal with </w:t>
      </w:r>
      <w:r w:rsidR="000D3ABC" w:rsidRPr="006718F1">
        <w:t xml:space="preserve">Danida’s Strategy for Support to Civil Society </w:t>
      </w:r>
      <w:r w:rsidR="000D3ABC">
        <w:t xml:space="preserve">in relation to what can be done in the future) </w:t>
      </w:r>
    </w:p>
    <w:p w14:paraId="7591A49B" w14:textId="77777777" w:rsidR="00C9255D" w:rsidRPr="006718F1" w:rsidRDefault="00C9255D" w:rsidP="00DB2EF0"/>
    <w:p w14:paraId="7591A49C" w14:textId="77777777" w:rsidR="00C9255D" w:rsidRPr="00A90881" w:rsidRDefault="00A90881" w:rsidP="00DB2EF0">
      <w:pPr>
        <w:rPr>
          <w:b/>
          <w:i/>
        </w:rPr>
      </w:pPr>
      <w:r>
        <w:rPr>
          <w:b/>
          <w:i/>
        </w:rPr>
        <w:t xml:space="preserve">4.1 </w:t>
      </w:r>
      <w:r w:rsidR="00C9255D" w:rsidRPr="00A90881">
        <w:rPr>
          <w:b/>
          <w:i/>
        </w:rPr>
        <w:t>Right</w:t>
      </w:r>
      <w:r w:rsidR="00CD5F51">
        <w:rPr>
          <w:b/>
          <w:i/>
        </w:rPr>
        <w:t>s</w:t>
      </w:r>
      <w:r w:rsidR="00C9255D" w:rsidRPr="00A90881">
        <w:rPr>
          <w:b/>
          <w:i/>
        </w:rPr>
        <w:t xml:space="preserve"> based approach</w:t>
      </w:r>
    </w:p>
    <w:p w14:paraId="7591A49D" w14:textId="77777777" w:rsidR="00C9255D" w:rsidRPr="006718F1" w:rsidRDefault="00C9255D" w:rsidP="00DB2EF0">
      <w:r w:rsidRPr="006718F1">
        <w:t xml:space="preserve">From the interviews it has become clear for the </w:t>
      </w:r>
      <w:r w:rsidR="000D3ABC">
        <w:t>team</w:t>
      </w:r>
      <w:r w:rsidRPr="006718F1">
        <w:t xml:space="preserve"> that the CSDP programme has contributed to a better understanding among the CSO partners of the rights</w:t>
      </w:r>
      <w:r w:rsidR="00CD5F51">
        <w:t>-</w:t>
      </w:r>
      <w:r w:rsidRPr="006718F1">
        <w:t xml:space="preserve">based approach. The training courses </w:t>
      </w:r>
      <w:r w:rsidR="000D3ABC">
        <w:t>undertaken</w:t>
      </w:r>
      <w:r w:rsidRPr="006718F1">
        <w:t xml:space="preserve"> by the UNDP</w:t>
      </w:r>
      <w:r w:rsidR="00BC1774">
        <w:t>-</w:t>
      </w:r>
      <w:r w:rsidRPr="006718F1">
        <w:t>hired Danish Institute for Human Rights (DIHR)</w:t>
      </w:r>
      <w:r w:rsidR="000D3ABC">
        <w:t xml:space="preserve"> </w:t>
      </w:r>
      <w:r w:rsidRPr="006718F1">
        <w:t>has presented this approach and help</w:t>
      </w:r>
      <w:r w:rsidR="00CD5F51">
        <w:t>ed</w:t>
      </w:r>
      <w:r w:rsidRPr="006718F1">
        <w:t xml:space="preserve"> in </w:t>
      </w:r>
      <w:r w:rsidR="00CD5F51">
        <w:t>comprehending</w:t>
      </w:r>
      <w:r w:rsidRPr="006718F1">
        <w:t xml:space="preserve"> its practical implications. It has been important</w:t>
      </w:r>
      <w:r w:rsidR="000D3ABC">
        <w:t>, helpful and crucial</w:t>
      </w:r>
      <w:r w:rsidRPr="006718F1">
        <w:t xml:space="preserve"> to expose the participants to international experiences with the rights</w:t>
      </w:r>
      <w:r w:rsidR="00CD5F51">
        <w:t xml:space="preserve"> </w:t>
      </w:r>
      <w:r w:rsidRPr="006718F1">
        <w:t>based approach.</w:t>
      </w:r>
    </w:p>
    <w:p w14:paraId="7591A49E" w14:textId="77777777" w:rsidR="00C9255D" w:rsidRPr="006718F1" w:rsidRDefault="00C9255D" w:rsidP="00DB2EF0"/>
    <w:p w14:paraId="7591A49F" w14:textId="77777777" w:rsidR="00C9255D" w:rsidRPr="00A90881" w:rsidRDefault="00A90881" w:rsidP="00DB2EF0">
      <w:pPr>
        <w:rPr>
          <w:b/>
          <w:i/>
        </w:rPr>
      </w:pPr>
      <w:r>
        <w:rPr>
          <w:b/>
          <w:i/>
        </w:rPr>
        <w:t xml:space="preserve">4.2 </w:t>
      </w:r>
      <w:r w:rsidR="00C9255D" w:rsidRPr="00A90881">
        <w:rPr>
          <w:b/>
          <w:i/>
        </w:rPr>
        <w:t>Advocacy and networking</w:t>
      </w:r>
    </w:p>
    <w:p w14:paraId="7591A4A0" w14:textId="77777777" w:rsidR="00C9255D" w:rsidRPr="006718F1" w:rsidRDefault="00C9255D" w:rsidP="00DB2EF0">
      <w:r w:rsidRPr="006718F1">
        <w:t xml:space="preserve">The programme document has highlighted human rights and advocacy. As mentioned </w:t>
      </w:r>
      <w:r w:rsidR="000D3ABC">
        <w:t>above</w:t>
      </w:r>
      <w:r w:rsidRPr="006718F1">
        <w:t>,</w:t>
      </w:r>
      <w:r w:rsidR="0089326E">
        <w:t xml:space="preserve"> at </w:t>
      </w:r>
      <w:r w:rsidRPr="006718F1">
        <w:t xml:space="preserve">both </w:t>
      </w:r>
      <w:r w:rsidR="0089326E">
        <w:t>n</w:t>
      </w:r>
      <w:r w:rsidRPr="006718F1">
        <w:t xml:space="preserve">ational </w:t>
      </w:r>
      <w:r w:rsidR="0089326E">
        <w:t>and local level</w:t>
      </w:r>
      <w:r w:rsidR="00CD5F51">
        <w:t>s</w:t>
      </w:r>
      <w:r w:rsidR="0089326E">
        <w:t xml:space="preserve"> </w:t>
      </w:r>
      <w:r w:rsidRPr="006718F1">
        <w:t>positive examples can be observed</w:t>
      </w:r>
      <w:r w:rsidR="0089326E">
        <w:t>. Especially at</w:t>
      </w:r>
      <w:r w:rsidR="00CD5F51">
        <w:t xml:space="preserve"> the</w:t>
      </w:r>
      <w:r w:rsidR="0089326E">
        <w:t xml:space="preserve"> </w:t>
      </w:r>
      <w:r w:rsidRPr="006718F1">
        <w:t>local level, where</w:t>
      </w:r>
      <w:r w:rsidR="00CD5F51">
        <w:t xml:space="preserve"> it has resulted in </w:t>
      </w:r>
      <w:r w:rsidRPr="006718F1">
        <w:t>increased engagement of local CSOs in exploring ways of opening up better relationships and two</w:t>
      </w:r>
      <w:r w:rsidR="00CD5F51">
        <w:t>-</w:t>
      </w:r>
      <w:r w:rsidRPr="006718F1">
        <w:t>way communications with local governments at rayon and oblast levels.</w:t>
      </w:r>
    </w:p>
    <w:p w14:paraId="7591A4A1" w14:textId="77777777" w:rsidR="00C9255D" w:rsidRPr="006718F1" w:rsidRDefault="00C9255D" w:rsidP="00DB2EF0"/>
    <w:p w14:paraId="7591A4A2" w14:textId="77777777" w:rsidR="0089326E" w:rsidRDefault="00C9255D" w:rsidP="00DB2EF0">
      <w:r w:rsidRPr="006718F1">
        <w:t>Lviv Regional Branch of “</w:t>
      </w:r>
      <w:r w:rsidRPr="006718F1">
        <w:rPr>
          <w:i/>
        </w:rPr>
        <w:t>Rehabilitation of People with Disabilities</w:t>
      </w:r>
      <w:r w:rsidRPr="006718F1">
        <w:t xml:space="preserve">” is doing very well in relation to the international convention and networking at international and national levels. </w:t>
      </w:r>
      <w:r w:rsidR="00392182">
        <w:t xml:space="preserve">The </w:t>
      </w:r>
      <w:r w:rsidR="0089326E" w:rsidRPr="006718F1">
        <w:t>“</w:t>
      </w:r>
      <w:r w:rsidR="0089326E" w:rsidRPr="00CD5F51">
        <w:rPr>
          <w:i/>
        </w:rPr>
        <w:t>Ecology-People-Law</w:t>
      </w:r>
      <w:r w:rsidR="0089326E" w:rsidRPr="006718F1">
        <w:t>”</w:t>
      </w:r>
      <w:r w:rsidR="00392182">
        <w:t xml:space="preserve"> CSO has a</w:t>
      </w:r>
      <w:r w:rsidR="0089326E" w:rsidRPr="006718F1">
        <w:t xml:space="preserve"> good knowledge of relevant multilateral environmental agreement</w:t>
      </w:r>
      <w:r w:rsidR="00392182">
        <w:t>s</w:t>
      </w:r>
      <w:r w:rsidR="00CD5F51">
        <w:t>. H</w:t>
      </w:r>
      <w:r w:rsidR="0089326E" w:rsidRPr="006718F1">
        <w:t xml:space="preserve">owever, they are </w:t>
      </w:r>
      <w:r w:rsidR="00392182">
        <w:t xml:space="preserve">not able to </w:t>
      </w:r>
      <w:r w:rsidR="0089326E" w:rsidRPr="006718F1">
        <w:t>link to national environmental coalition</w:t>
      </w:r>
      <w:r w:rsidR="00392182">
        <w:t>s</w:t>
      </w:r>
      <w:r w:rsidR="0089326E" w:rsidRPr="006718F1">
        <w:t xml:space="preserve">, </w:t>
      </w:r>
      <w:r w:rsidR="00392182">
        <w:t xml:space="preserve">as </w:t>
      </w:r>
      <w:r w:rsidR="00CD5F51">
        <w:t xml:space="preserve">such coalitions </w:t>
      </w:r>
      <w:r w:rsidR="00392182">
        <w:t xml:space="preserve">generally are </w:t>
      </w:r>
      <w:r w:rsidR="0089326E" w:rsidRPr="006718F1">
        <w:t>lacking in Ukraine.</w:t>
      </w:r>
      <w:r w:rsidR="00392182">
        <w:t xml:space="preserve"> </w:t>
      </w:r>
    </w:p>
    <w:p w14:paraId="7591A4A3" w14:textId="77777777" w:rsidR="0089326E" w:rsidRPr="006718F1" w:rsidRDefault="00023E79" w:rsidP="00DB2EF0">
      <w:r>
        <w:t xml:space="preserve">A large number of </w:t>
      </w:r>
      <w:r w:rsidR="00C9255D" w:rsidRPr="006718F1">
        <w:t>the CSOs have not considered the linkages to national and international level (e.g. national policy/strategy, conventions)</w:t>
      </w:r>
      <w:r w:rsidR="00CD5F51">
        <w:t>. T</w:t>
      </w:r>
      <w:r>
        <w:t xml:space="preserve">here is thus a </w:t>
      </w:r>
      <w:r w:rsidR="0089326E" w:rsidRPr="006718F1">
        <w:t>mixed capability to link local and national NGOs within advocacy</w:t>
      </w:r>
      <w:r>
        <w:t xml:space="preserve"> in Ukraine</w:t>
      </w:r>
      <w:r w:rsidR="0089326E" w:rsidRPr="006718F1">
        <w:t>.</w:t>
      </w:r>
    </w:p>
    <w:p w14:paraId="7591A4A4" w14:textId="77777777" w:rsidR="00C9255D" w:rsidRPr="006718F1" w:rsidRDefault="00C9255D" w:rsidP="00DB2EF0"/>
    <w:p w14:paraId="7591A4A5" w14:textId="77777777" w:rsidR="00AA7C5D" w:rsidRDefault="00023E79" w:rsidP="00DB2EF0">
      <w:r>
        <w:t>A</w:t>
      </w:r>
      <w:r w:rsidRPr="006718F1">
        <w:t>ccording to the</w:t>
      </w:r>
      <w:r>
        <w:t xml:space="preserve"> above-mentioned </w:t>
      </w:r>
      <w:r w:rsidRPr="006718F1">
        <w:t>USAID study</w:t>
      </w:r>
      <w:r w:rsidR="00AA7C5D">
        <w:t xml:space="preserve">, there is a </w:t>
      </w:r>
      <w:r w:rsidR="00AA7C5D" w:rsidRPr="006718F1">
        <w:t>relatively weak coalition-building and networking at national and international levels</w:t>
      </w:r>
      <w:r w:rsidR="00AA7C5D">
        <w:t xml:space="preserve"> </w:t>
      </w:r>
      <w:r w:rsidRPr="006718F1">
        <w:t>within Ukraine’s civil society community</w:t>
      </w:r>
      <w:r w:rsidR="00AA7C5D">
        <w:t xml:space="preserve">. </w:t>
      </w:r>
    </w:p>
    <w:p w14:paraId="7591A4A6" w14:textId="77777777" w:rsidR="00AA7C5D" w:rsidRDefault="00AA7C5D" w:rsidP="00DB2EF0"/>
    <w:p w14:paraId="7591A4A7" w14:textId="77777777" w:rsidR="005E6E32" w:rsidRPr="00A90881" w:rsidRDefault="005E6E32" w:rsidP="00DB2EF0">
      <w:pPr>
        <w:rPr>
          <w:b/>
          <w:i/>
        </w:rPr>
      </w:pPr>
      <w:r w:rsidRPr="006718F1">
        <w:t xml:space="preserve"> </w:t>
      </w:r>
      <w:r w:rsidR="00A90881">
        <w:rPr>
          <w:b/>
          <w:i/>
        </w:rPr>
        <w:t>4.3 S</w:t>
      </w:r>
      <w:r w:rsidRPr="00A90881">
        <w:rPr>
          <w:b/>
          <w:i/>
        </w:rPr>
        <w:t>ervice delivery</w:t>
      </w:r>
    </w:p>
    <w:p w14:paraId="7591A4A8" w14:textId="77777777" w:rsidR="005E6E32" w:rsidRPr="006718F1" w:rsidRDefault="005E6E32" w:rsidP="00DB2EF0">
      <w:r w:rsidRPr="006718F1">
        <w:t>An important feature in CSDP is its focus on human rights and inclusion of CSOs</w:t>
      </w:r>
      <w:r w:rsidR="00AF30EF">
        <w:t>,</w:t>
      </w:r>
      <w:r w:rsidRPr="006718F1">
        <w:t xml:space="preserve"> who </w:t>
      </w:r>
      <w:r w:rsidR="004C447E">
        <w:t xml:space="preserve">are </w:t>
      </w:r>
      <w:r w:rsidRPr="006718F1">
        <w:t>present in seven oblast regions</w:t>
      </w:r>
      <w:r w:rsidR="004C447E">
        <w:t xml:space="preserve"> and </w:t>
      </w:r>
      <w:r w:rsidRPr="006718F1">
        <w:t>are outside the “traditional circle” of human rights</w:t>
      </w:r>
      <w:r w:rsidR="00AF30EF">
        <w:t>’</w:t>
      </w:r>
      <w:r w:rsidRPr="006718F1">
        <w:t xml:space="preserve"> focused CSOs</w:t>
      </w:r>
      <w:r w:rsidR="004C447E">
        <w:t>. This has resulted i</w:t>
      </w:r>
      <w:r w:rsidR="00AF30EF">
        <w:t>n</w:t>
      </w:r>
      <w:r w:rsidR="004C447E">
        <w:t xml:space="preserve"> a </w:t>
      </w:r>
      <w:r w:rsidRPr="006718F1">
        <w:t>broad range of service delivery connected with advocacy at</w:t>
      </w:r>
      <w:r w:rsidR="00AF30EF">
        <w:t xml:space="preserve"> the</w:t>
      </w:r>
      <w:r w:rsidRPr="006718F1">
        <w:t xml:space="preserve"> local level. CSDP </w:t>
      </w:r>
      <w:r w:rsidR="004C447E">
        <w:t xml:space="preserve">thus </w:t>
      </w:r>
      <w:r w:rsidRPr="006718F1">
        <w:t>focus on</w:t>
      </w:r>
      <w:r w:rsidR="004C447E">
        <w:t xml:space="preserve"> right base approaches and </w:t>
      </w:r>
      <w:r w:rsidRPr="006718F1">
        <w:t>embrace social, economic, environmental and cultural rights</w:t>
      </w:r>
      <w:r w:rsidR="004C447E">
        <w:t xml:space="preserve"> at the same time</w:t>
      </w:r>
      <w:r w:rsidRPr="006718F1">
        <w:t>.</w:t>
      </w:r>
    </w:p>
    <w:p w14:paraId="7591A4A9" w14:textId="77777777" w:rsidR="005E6E32" w:rsidRPr="006718F1" w:rsidRDefault="005E6E32" w:rsidP="00DB2EF0"/>
    <w:p w14:paraId="7591A4AA" w14:textId="77777777" w:rsidR="005E6E32" w:rsidRPr="006718F1" w:rsidRDefault="00AF30EF" w:rsidP="00DB2EF0">
      <w:r>
        <w:t xml:space="preserve">Most </w:t>
      </w:r>
      <w:r w:rsidR="005E6E32" w:rsidRPr="006718F1">
        <w:t>of the 106 sub-grantees cooperate at the local level with the local authorities</w:t>
      </w:r>
      <w:r>
        <w:t>. The</w:t>
      </w:r>
      <w:r w:rsidR="005E6E32" w:rsidRPr="006718F1">
        <w:t xml:space="preserve"> number of </w:t>
      </w:r>
      <w:r w:rsidR="005E6E32" w:rsidRPr="006718F1">
        <w:lastRenderedPageBreak/>
        <w:t>people who receive services from CSOs ha</w:t>
      </w:r>
      <w:r>
        <w:t>ve</w:t>
      </w:r>
      <w:r w:rsidR="005E6E32" w:rsidRPr="006718F1">
        <w:t xml:space="preserve"> increased a</w:t>
      </w:r>
      <w:r>
        <w:t>nd</w:t>
      </w:r>
      <w:r w:rsidR="005E6E32" w:rsidRPr="006718F1">
        <w:t xml:space="preserve"> pilot schemes</w:t>
      </w:r>
      <w:r>
        <w:t xml:space="preserve"> have been </w:t>
      </w:r>
      <w:r w:rsidR="005E6E32" w:rsidRPr="006718F1">
        <w:t>tested. Within the thematic area for vulnerable groups, children and adults with disabilities, single mothers and vulnerable youths have been attended. Within “enhancing citizens</w:t>
      </w:r>
      <w:r w:rsidR="0062795B">
        <w:t>’ involvement</w:t>
      </w:r>
      <w:r w:rsidR="005E6E32" w:rsidRPr="006718F1">
        <w:t>” local community groups have been involved in city strategic development,</w:t>
      </w:r>
      <w:r w:rsidR="0062795B">
        <w:t xml:space="preserve"> in</w:t>
      </w:r>
      <w:r w:rsidR="005E6E32" w:rsidRPr="006718F1">
        <w:t xml:space="preserve"> housing and utility services,</w:t>
      </w:r>
      <w:r w:rsidR="0062795B">
        <w:t xml:space="preserve"> in</w:t>
      </w:r>
      <w:r w:rsidR="005E6E32" w:rsidRPr="006718F1">
        <w:t xml:space="preserve"> youth policy in urban and rural communities</w:t>
      </w:r>
      <w:r>
        <w:t xml:space="preserve"> and</w:t>
      </w:r>
      <w:r w:rsidR="005E6E32" w:rsidRPr="006718F1">
        <w:t xml:space="preserve"> </w:t>
      </w:r>
      <w:r w:rsidR="0062795B">
        <w:t xml:space="preserve">in </w:t>
      </w:r>
      <w:r w:rsidR="005E6E32" w:rsidRPr="006718F1">
        <w:t>support to small business development among others.</w:t>
      </w:r>
    </w:p>
    <w:p w14:paraId="7591A4AB" w14:textId="77777777" w:rsidR="00C9255D" w:rsidRPr="006718F1" w:rsidRDefault="00C9255D" w:rsidP="00DB2EF0"/>
    <w:p w14:paraId="7591A4AC" w14:textId="77777777" w:rsidR="00C9255D" w:rsidRPr="00A90881" w:rsidRDefault="00A90881" w:rsidP="00DB2EF0">
      <w:pPr>
        <w:rPr>
          <w:b/>
          <w:i/>
        </w:rPr>
      </w:pPr>
      <w:r>
        <w:rPr>
          <w:b/>
          <w:i/>
        </w:rPr>
        <w:t xml:space="preserve">4.4 </w:t>
      </w:r>
      <w:r w:rsidR="00C9255D" w:rsidRPr="00A90881">
        <w:rPr>
          <w:b/>
          <w:i/>
        </w:rPr>
        <w:t>Capacity development of Ukrainian CSOs</w:t>
      </w:r>
    </w:p>
    <w:p w14:paraId="7591A4AD" w14:textId="77777777" w:rsidR="00C9255D" w:rsidRPr="006718F1" w:rsidRDefault="00C9255D" w:rsidP="00DB2EF0">
      <w:r w:rsidRPr="006718F1">
        <w:t>Output 1</w:t>
      </w:r>
      <w:r w:rsidR="000D41D8">
        <w:t xml:space="preserve"> </w:t>
      </w:r>
      <w:r w:rsidRPr="006718F1">
        <w:t xml:space="preserve">in the CSDP programme points to </w:t>
      </w:r>
      <w:r w:rsidRPr="006718F1">
        <w:rPr>
          <w:i/>
        </w:rPr>
        <w:t xml:space="preserve">increased strategic, managerial, advocacy and monitoring capacity of civil society organisations in selected regions. </w:t>
      </w:r>
      <w:r w:rsidRPr="006718F1">
        <w:t>UNDP has mainly responded to this planned output through study tours, site visits and training courses organised by CCC, ISAR, DIHR and UNDP. The various training events have</w:t>
      </w:r>
      <w:r w:rsidR="00F04EAB">
        <w:t>,</w:t>
      </w:r>
      <w:r w:rsidRPr="006718F1">
        <w:t xml:space="preserve"> according to the course evaluations</w:t>
      </w:r>
      <w:r w:rsidR="00F04EAB">
        <w:t>,</w:t>
      </w:r>
      <w:r w:rsidRPr="006718F1">
        <w:t xml:space="preserve"> been appreciated by the participants.</w:t>
      </w:r>
      <w:r w:rsidR="001147EA">
        <w:t xml:space="preserve"> </w:t>
      </w:r>
      <w:r w:rsidR="001147EA" w:rsidRPr="001147EA">
        <w:t>In addition UNDP counts learning-by-doing as an effective capacity development method</w:t>
      </w:r>
    </w:p>
    <w:p w14:paraId="7591A4AE" w14:textId="77777777" w:rsidR="00C9255D" w:rsidRPr="006718F1" w:rsidRDefault="00C9255D" w:rsidP="00DB2EF0"/>
    <w:p w14:paraId="7591A4AF" w14:textId="77777777" w:rsidR="00C9255D" w:rsidRPr="006718F1" w:rsidRDefault="00C9255D" w:rsidP="00DB2EF0">
      <w:r w:rsidRPr="006718F1">
        <w:t>The</w:t>
      </w:r>
      <w:r w:rsidR="00A90881">
        <w:t xml:space="preserve"> team</w:t>
      </w:r>
      <w:r w:rsidRPr="006718F1">
        <w:t xml:space="preserve"> </w:t>
      </w:r>
      <w:r w:rsidR="00A90881">
        <w:t xml:space="preserve">agree with </w:t>
      </w:r>
      <w:r w:rsidRPr="006718F1">
        <w:t xml:space="preserve">UNDP </w:t>
      </w:r>
      <w:r w:rsidR="00033AA8">
        <w:t>in</w:t>
      </w:r>
      <w:r w:rsidRPr="006718F1">
        <w:t xml:space="preserve"> the understanding of three levels of Capacity Development</w:t>
      </w:r>
      <w:r w:rsidRPr="006718F1">
        <w:rPr>
          <w:rStyle w:val="FootnoteReference"/>
        </w:rPr>
        <w:footnoteReference w:id="4"/>
      </w:r>
      <w:r w:rsidRPr="006718F1">
        <w:t xml:space="preserve">: </w:t>
      </w:r>
    </w:p>
    <w:p w14:paraId="7591A4B0" w14:textId="77777777" w:rsidR="00C9255D" w:rsidRPr="006718F1" w:rsidRDefault="00C9255D" w:rsidP="000D41D8">
      <w:pPr>
        <w:pStyle w:val="ListParagraph"/>
        <w:numPr>
          <w:ilvl w:val="0"/>
          <w:numId w:val="17"/>
        </w:numPr>
      </w:pPr>
      <w:r w:rsidRPr="006718F1">
        <w:t>Enabling the institutional environment (including the need for legal and regulatory changes to be more conducive for civic associations)</w:t>
      </w:r>
    </w:p>
    <w:p w14:paraId="7591A4B1" w14:textId="77777777" w:rsidR="00C9255D" w:rsidRPr="006718F1" w:rsidRDefault="00C9255D" w:rsidP="000D41D8">
      <w:pPr>
        <w:pStyle w:val="ListParagraph"/>
        <w:numPr>
          <w:ilvl w:val="0"/>
          <w:numId w:val="17"/>
        </w:numPr>
      </w:pPr>
      <w:r w:rsidRPr="006718F1">
        <w:t>Organizational development with management, strategy, democratic structures, processes and procedures.</w:t>
      </w:r>
    </w:p>
    <w:p w14:paraId="7591A4B2" w14:textId="77777777" w:rsidR="00C9255D" w:rsidRPr="006718F1" w:rsidRDefault="00C9255D" w:rsidP="000D41D8">
      <w:pPr>
        <w:pStyle w:val="ListParagraph"/>
        <w:numPr>
          <w:ilvl w:val="0"/>
          <w:numId w:val="17"/>
        </w:numPr>
      </w:pPr>
      <w:r w:rsidRPr="006718F1">
        <w:t>Human resource development, including equipping individuals with skills through training.</w:t>
      </w:r>
    </w:p>
    <w:p w14:paraId="7591A4B3" w14:textId="77777777" w:rsidR="00C9255D" w:rsidRPr="006718F1" w:rsidRDefault="00C9255D" w:rsidP="00DB2EF0"/>
    <w:p w14:paraId="7591A4B4" w14:textId="77777777" w:rsidR="00C9255D" w:rsidRPr="006718F1" w:rsidRDefault="00C9255D" w:rsidP="00DB2EF0">
      <w:r w:rsidRPr="006718F1">
        <w:t>UNDP request</w:t>
      </w:r>
      <w:r w:rsidR="000D41D8">
        <w:t>s</w:t>
      </w:r>
      <w:r w:rsidRPr="006718F1">
        <w:t xml:space="preserve"> all potential grantees to fill out the questionnaire ‘</w:t>
      </w:r>
      <w:r w:rsidRPr="006718F1">
        <w:rPr>
          <w:i/>
        </w:rPr>
        <w:t>CSO Capacity Assessment Tool</w:t>
      </w:r>
      <w:r w:rsidRPr="006718F1">
        <w:t>’.</w:t>
      </w:r>
      <w:r w:rsidR="00AF0E97">
        <w:t xml:space="preserve"> In addition</w:t>
      </w:r>
      <w:r w:rsidR="00033AA8">
        <w:t>,</w:t>
      </w:r>
      <w:r w:rsidR="00AF0E97">
        <w:t xml:space="preserve"> t</w:t>
      </w:r>
      <w:r w:rsidRPr="006718F1">
        <w:t>he CSDP team also verifies information,</w:t>
      </w:r>
      <w:r w:rsidR="00AF0E97">
        <w:t xml:space="preserve"> arrange</w:t>
      </w:r>
      <w:r w:rsidRPr="006718F1">
        <w:t xml:space="preserve"> pre-award meetings,</w:t>
      </w:r>
      <w:r w:rsidR="00AF0E97">
        <w:t xml:space="preserve"> obtain</w:t>
      </w:r>
      <w:r w:rsidRPr="006718F1">
        <w:t xml:space="preserve"> letters of reference</w:t>
      </w:r>
      <w:r w:rsidR="00AF0E97">
        <w:t xml:space="preserve"> also </w:t>
      </w:r>
      <w:r w:rsidRPr="006718F1">
        <w:t xml:space="preserve">from donors, </w:t>
      </w:r>
      <w:r w:rsidR="00717121">
        <w:t xml:space="preserve">look at </w:t>
      </w:r>
      <w:r w:rsidRPr="006718F1">
        <w:t>annual reports, etc. These assessments</w:t>
      </w:r>
      <w:r w:rsidR="00717121">
        <w:t xml:space="preserve"> are mainly </w:t>
      </w:r>
      <w:r w:rsidRPr="006718F1">
        <w:t>aim</w:t>
      </w:r>
      <w:r w:rsidR="00717121">
        <w:t>ed</w:t>
      </w:r>
      <w:r w:rsidRPr="006718F1">
        <w:t xml:space="preserve"> at the selection committee, </w:t>
      </w:r>
      <w:r w:rsidR="00E956F5">
        <w:t>and not so much</w:t>
      </w:r>
      <w:r w:rsidR="00033AA8">
        <w:t xml:space="preserve"> on</w:t>
      </w:r>
      <w:r w:rsidR="00E956F5">
        <w:t xml:space="preserve"> </w:t>
      </w:r>
      <w:r w:rsidRPr="006718F1">
        <w:t xml:space="preserve">making improvements in </w:t>
      </w:r>
      <w:r w:rsidR="00E956F5">
        <w:t>clo</w:t>
      </w:r>
      <w:r w:rsidRPr="006718F1">
        <w:t>se collaboration with the CSOs.</w:t>
      </w:r>
    </w:p>
    <w:p w14:paraId="7591A4B5" w14:textId="77777777" w:rsidR="00D015A4" w:rsidRDefault="00D015A4" w:rsidP="00DB2EF0"/>
    <w:p w14:paraId="7591A4B6" w14:textId="77777777" w:rsidR="00C9255D" w:rsidRPr="006718F1" w:rsidRDefault="00033AA8" w:rsidP="00DB2EF0">
      <w:r>
        <w:t>The s</w:t>
      </w:r>
      <w:r w:rsidR="00307AC4">
        <w:t xml:space="preserve">trengths </w:t>
      </w:r>
      <w:r>
        <w:t>of</w:t>
      </w:r>
      <w:r w:rsidR="00307AC4">
        <w:t xml:space="preserve"> the CSOs visited in Lviv </w:t>
      </w:r>
      <w:r w:rsidR="00E56CE3">
        <w:t>were</w:t>
      </w:r>
      <w:r w:rsidR="00307AC4">
        <w:t xml:space="preserve"> the </w:t>
      </w:r>
      <w:r w:rsidR="00E56CE3">
        <w:t>technical</w:t>
      </w:r>
      <w:r w:rsidR="000A39C3">
        <w:t>/professional competences</w:t>
      </w:r>
      <w:r>
        <w:t xml:space="preserve"> within their core businesses</w:t>
      </w:r>
      <w:r w:rsidR="00E56CE3">
        <w:t>, abilit</w:t>
      </w:r>
      <w:r>
        <w:t>ies</w:t>
      </w:r>
      <w:r w:rsidR="000A39C3">
        <w:t xml:space="preserve"> </w:t>
      </w:r>
      <w:r w:rsidR="00E56CE3">
        <w:t>to</w:t>
      </w:r>
      <w:r w:rsidR="000A39C3">
        <w:t xml:space="preserve"> raise </w:t>
      </w:r>
      <w:r w:rsidR="00E56CE3">
        <w:t>funds</w:t>
      </w:r>
      <w:r w:rsidR="000A39C3">
        <w:t xml:space="preserve"> </w:t>
      </w:r>
      <w:r w:rsidR="00815E3C">
        <w:t xml:space="preserve">from donors and </w:t>
      </w:r>
      <w:r w:rsidR="000A39C3">
        <w:t xml:space="preserve">private </w:t>
      </w:r>
      <w:r w:rsidR="00E56CE3">
        <w:t>sources</w:t>
      </w:r>
      <w:r w:rsidR="00815E3C">
        <w:t xml:space="preserve">, to make contact with local government, </w:t>
      </w:r>
      <w:r w:rsidR="00E56CE3">
        <w:t>abilit</w:t>
      </w:r>
      <w:r>
        <w:t>ies</w:t>
      </w:r>
      <w:r w:rsidR="00E56CE3">
        <w:t xml:space="preserve"> to </w:t>
      </w:r>
      <w:r w:rsidR="000A39C3">
        <w:t xml:space="preserve">take </w:t>
      </w:r>
      <w:r w:rsidR="00E56CE3">
        <w:t>initiatives</w:t>
      </w:r>
      <w:r w:rsidR="00815E3C">
        <w:t xml:space="preserve"> and finally the</w:t>
      </w:r>
      <w:r>
        <w:t xml:space="preserve">ir </w:t>
      </w:r>
      <w:r w:rsidR="00E56CE3">
        <w:t>close</w:t>
      </w:r>
      <w:r w:rsidR="000A39C3">
        <w:t xml:space="preserve"> contact with </w:t>
      </w:r>
      <w:r w:rsidR="00E56CE3">
        <w:t>beneficiaries</w:t>
      </w:r>
      <w:r>
        <w:t>.</w:t>
      </w:r>
      <w:r w:rsidR="000A39C3">
        <w:t xml:space="preserve"> </w:t>
      </w:r>
    </w:p>
    <w:p w14:paraId="7591A4B7" w14:textId="77777777" w:rsidR="00307AC4" w:rsidRDefault="00307AC4" w:rsidP="00DB2EF0"/>
    <w:p w14:paraId="7591A4B8" w14:textId="77777777" w:rsidR="00C9255D" w:rsidRDefault="00C9255D" w:rsidP="00DB2EF0">
      <w:r w:rsidRPr="006718F1">
        <w:t xml:space="preserve">The most common weaknesses observed from the interviews with the six visited Lviv CSOs were perceived as lack of membership base, </w:t>
      </w:r>
      <w:r w:rsidR="00971098">
        <w:t xml:space="preserve">the very </w:t>
      </w:r>
      <w:r w:rsidRPr="006718F1">
        <w:t xml:space="preserve">dominant leadership, </w:t>
      </w:r>
      <w:r w:rsidR="00971098">
        <w:t xml:space="preserve">lack of </w:t>
      </w:r>
      <w:r w:rsidRPr="006718F1">
        <w:t>strategic planning and fundraising strateg</w:t>
      </w:r>
      <w:r w:rsidR="00971098">
        <w:t>ies</w:t>
      </w:r>
      <w:r w:rsidRPr="006718F1">
        <w:t xml:space="preserve"> and limited reporting to the public.</w:t>
      </w:r>
    </w:p>
    <w:p w14:paraId="7591A4B9" w14:textId="77777777" w:rsidR="00EC71BC" w:rsidRDefault="00EC71BC" w:rsidP="00DB2EF0"/>
    <w:p w14:paraId="7591A4BA" w14:textId="77777777" w:rsidR="00EC71BC" w:rsidRPr="006718F1" w:rsidRDefault="00EC71BC" w:rsidP="00DB2EF0">
      <w:r w:rsidRPr="00EC71BC">
        <w:t>Considerable differences can be found from well-established to emerging/weaker organisations. A question for CSDP to consider is whether further differentiation could be applied to training and capacity development.</w:t>
      </w:r>
    </w:p>
    <w:p w14:paraId="7591A4BB" w14:textId="77777777" w:rsidR="00C9255D" w:rsidRPr="006718F1" w:rsidRDefault="00C9255D" w:rsidP="00DB2EF0"/>
    <w:p w14:paraId="7591A4BC" w14:textId="77777777" w:rsidR="00C9255D" w:rsidRPr="006718F1" w:rsidRDefault="00C9255D" w:rsidP="00DB2EF0">
      <w:r w:rsidRPr="006718F1">
        <w:t xml:space="preserve">The team </w:t>
      </w:r>
      <w:r w:rsidR="00104E01">
        <w:t>w</w:t>
      </w:r>
      <w:r w:rsidR="00DB2EF0">
        <w:t>ant</w:t>
      </w:r>
      <w:r w:rsidR="00971098">
        <w:t>s</w:t>
      </w:r>
      <w:r w:rsidR="00104E01">
        <w:t xml:space="preserve"> to point out th</w:t>
      </w:r>
      <w:r w:rsidR="00DB2EF0">
        <w:t>a</w:t>
      </w:r>
      <w:r w:rsidR="00104E01">
        <w:t>t there i</w:t>
      </w:r>
      <w:r w:rsidR="00DB2EF0">
        <w:t>s</w:t>
      </w:r>
      <w:r w:rsidR="00104E01">
        <w:t xml:space="preserve"> </w:t>
      </w:r>
      <w:r w:rsidR="00DB2EF0">
        <w:t>l</w:t>
      </w:r>
      <w:r w:rsidRPr="006718F1">
        <w:t>imited evidence that the training has implied improvement in the organisational capacity of the participating CSO’s</w:t>
      </w:r>
      <w:r w:rsidR="00DB2EF0">
        <w:t xml:space="preserve">. </w:t>
      </w:r>
      <w:r w:rsidRPr="006718F1">
        <w:t>This reflects the traditional limitations in applying</w:t>
      </w:r>
      <w:r w:rsidR="00DF3573">
        <w:t xml:space="preserve"> </w:t>
      </w:r>
      <w:r w:rsidRPr="006718F1">
        <w:t>training approach</w:t>
      </w:r>
      <w:r w:rsidR="00DF3573">
        <w:t>es</w:t>
      </w:r>
      <w:r w:rsidRPr="006718F1">
        <w:t xml:space="preserve"> instead of more systematic</w:t>
      </w:r>
      <w:r w:rsidR="007A31EF">
        <w:t xml:space="preserve"> and</w:t>
      </w:r>
      <w:r w:rsidR="00D12ACF">
        <w:t xml:space="preserve"> </w:t>
      </w:r>
      <w:r w:rsidRPr="006718F1">
        <w:t>comprehensive Capacity Development approach</w:t>
      </w:r>
      <w:r w:rsidR="00DF3573">
        <w:t>es</w:t>
      </w:r>
      <w:r w:rsidRPr="006718F1">
        <w:t>. International experiences systematised by OECD/DAC</w:t>
      </w:r>
      <w:r w:rsidR="008850AA">
        <w:t xml:space="preserve"> and</w:t>
      </w:r>
      <w:r w:rsidRPr="006718F1">
        <w:t xml:space="preserve"> INTRAC</w:t>
      </w:r>
      <w:r w:rsidRPr="006718F1">
        <w:rPr>
          <w:rStyle w:val="FootnoteReference"/>
        </w:rPr>
        <w:footnoteReference w:id="5"/>
      </w:r>
      <w:r w:rsidRPr="006718F1">
        <w:t xml:space="preserve"> among others has suggested</w:t>
      </w:r>
      <w:r w:rsidR="007A31EF">
        <w:t xml:space="preserve"> to shift</w:t>
      </w:r>
      <w:r w:rsidRPr="006718F1">
        <w:t xml:space="preserve"> the focus to look beyond training to broader approaches to learning and process facilitation, where CSO board</w:t>
      </w:r>
      <w:r w:rsidR="00A93DF1">
        <w:t>s</w:t>
      </w:r>
      <w:r w:rsidRPr="006718F1">
        <w:t>, management</w:t>
      </w:r>
      <w:r w:rsidR="00A93DF1">
        <w:t>s</w:t>
      </w:r>
      <w:r w:rsidRPr="006718F1">
        <w:t xml:space="preserve"> and staff have a strong commitment to and drive for the application of tools and skills for reaching increased organisational capacity.</w:t>
      </w:r>
    </w:p>
    <w:p w14:paraId="7591A4BD" w14:textId="77777777" w:rsidR="00C9255D" w:rsidRDefault="00C9255D" w:rsidP="00DB2EF0"/>
    <w:p w14:paraId="7591A4BE" w14:textId="77777777" w:rsidR="00C9255D" w:rsidRPr="00CC25D0" w:rsidRDefault="000D3ABC" w:rsidP="00DB2EF0">
      <w:pPr>
        <w:rPr>
          <w:b/>
          <w:i/>
        </w:rPr>
      </w:pPr>
      <w:r w:rsidRPr="00CC25D0">
        <w:rPr>
          <w:b/>
          <w:i/>
        </w:rPr>
        <w:lastRenderedPageBreak/>
        <w:t>4</w:t>
      </w:r>
      <w:r w:rsidR="00C9255D" w:rsidRPr="00CC25D0">
        <w:rPr>
          <w:b/>
          <w:i/>
        </w:rPr>
        <w:t>.</w:t>
      </w:r>
      <w:r w:rsidR="00335311">
        <w:rPr>
          <w:b/>
          <w:i/>
        </w:rPr>
        <w:t>5</w:t>
      </w:r>
      <w:r w:rsidR="00C9255D" w:rsidRPr="00CC25D0">
        <w:rPr>
          <w:b/>
          <w:i/>
        </w:rPr>
        <w:t>. Organisational, financial sustainability and ‘good CSO governance’</w:t>
      </w:r>
    </w:p>
    <w:p w14:paraId="7591A4BF" w14:textId="77777777" w:rsidR="00C9255D" w:rsidRPr="006718F1" w:rsidRDefault="00C9255D" w:rsidP="00DB2EF0">
      <w:r w:rsidRPr="006718F1">
        <w:t xml:space="preserve">Financial sustainability and organisational growth has been highlighted in the Danish MFA and UNDP programme documents as an important goal for Ukrainian civil society organisations. The Review </w:t>
      </w:r>
      <w:r w:rsidR="00A93DF1">
        <w:t>Team</w:t>
      </w:r>
      <w:r w:rsidRPr="006718F1">
        <w:t xml:space="preserve"> will point to the two main weaknesses to the “co</w:t>
      </w:r>
      <w:r w:rsidR="00A93DF1">
        <w:t xml:space="preserve">nsultant company” type of NGOs: 1) </w:t>
      </w:r>
      <w:r w:rsidRPr="006718F1">
        <w:t>Financial sustainability</w:t>
      </w:r>
      <w:r w:rsidR="00EC71BC">
        <w:t xml:space="preserve"> due a</w:t>
      </w:r>
      <w:r w:rsidRPr="006718F1">
        <w:t xml:space="preserve"> very high dependency of foreign funds for paying staff</w:t>
      </w:r>
      <w:r w:rsidR="00EC71BC">
        <w:t xml:space="preserve">, and </w:t>
      </w:r>
      <w:r w:rsidR="00A93DF1">
        <w:t xml:space="preserve">2) </w:t>
      </w:r>
      <w:r w:rsidRPr="006718F1">
        <w:t>little constituency, membership and number of volunteers.</w:t>
      </w:r>
    </w:p>
    <w:p w14:paraId="7591A4C0" w14:textId="77777777" w:rsidR="00C9255D" w:rsidRPr="006718F1" w:rsidRDefault="00C9255D" w:rsidP="00DB2EF0"/>
    <w:p w14:paraId="7591A4C1" w14:textId="77777777" w:rsidR="00C9255D" w:rsidRPr="006718F1" w:rsidRDefault="00C9255D" w:rsidP="00DB2EF0">
      <w:r w:rsidRPr="006718F1">
        <w:t>Of the six visited CSOs in Lviv, only Green Cross has significant involvement of volunteers in their work. In general, it seems that the majority of CSDP partners have very limited number of volunteers and</w:t>
      </w:r>
      <w:r w:rsidR="005950BE">
        <w:t xml:space="preserve"> are</w:t>
      </w:r>
      <w:r w:rsidRPr="006718F1">
        <w:t xml:space="preserve"> not committed to stimulate</w:t>
      </w:r>
      <w:r w:rsidR="005950BE">
        <w:t xml:space="preserve"> the</w:t>
      </w:r>
      <w:r w:rsidRPr="006718F1">
        <w:t xml:space="preserve"> </w:t>
      </w:r>
      <w:r w:rsidR="005950BE">
        <w:t>recruitment of volunteers</w:t>
      </w:r>
      <w:r w:rsidRPr="006718F1">
        <w:t>.</w:t>
      </w:r>
    </w:p>
    <w:p w14:paraId="7591A4C2" w14:textId="77777777" w:rsidR="00C9255D" w:rsidRPr="006718F1" w:rsidRDefault="00C9255D" w:rsidP="00DB2EF0"/>
    <w:p w14:paraId="7591A4C3" w14:textId="77777777" w:rsidR="001034AA" w:rsidRDefault="001034AA" w:rsidP="00DB2EF0">
      <w:r>
        <w:t>In the present set-up</w:t>
      </w:r>
      <w:r w:rsidR="00C9255D" w:rsidRPr="006718F1">
        <w:t xml:space="preserve">, the CSDP programme has paid little attention </w:t>
      </w:r>
      <w:r w:rsidR="005950BE">
        <w:t xml:space="preserve">to </w:t>
      </w:r>
      <w:r w:rsidR="00C9255D" w:rsidRPr="006718F1">
        <w:t>strengthen</w:t>
      </w:r>
      <w:r w:rsidR="0080352D">
        <w:t>ing</w:t>
      </w:r>
      <w:r w:rsidR="00C9255D" w:rsidRPr="006718F1">
        <w:t xml:space="preserve"> governance principles within the supported CSOs</w:t>
      </w:r>
      <w:r>
        <w:t xml:space="preserve"> partly because it was not strictly outlined in the programme document and du</w:t>
      </w:r>
      <w:r w:rsidR="00252B3C">
        <w:t>e</w:t>
      </w:r>
      <w:r>
        <w:t xml:space="preserve"> to the fac</w:t>
      </w:r>
      <w:r w:rsidR="00252B3C">
        <w:t xml:space="preserve">t that the CSO did not demand such support. Strengthening of governance principles could be important in future support. </w:t>
      </w:r>
      <w:r>
        <w:t xml:space="preserve"> </w:t>
      </w:r>
    </w:p>
    <w:p w14:paraId="7591A4C4" w14:textId="77777777" w:rsidR="001034AA" w:rsidRDefault="001034AA" w:rsidP="00DB2EF0"/>
    <w:p w14:paraId="7591A4C5" w14:textId="77777777" w:rsidR="00C9255D" w:rsidRPr="006718F1" w:rsidRDefault="0080352D" w:rsidP="00DB2EF0">
      <w:r>
        <w:t xml:space="preserve">The </w:t>
      </w:r>
      <w:r w:rsidR="00C9255D" w:rsidRPr="006718F1">
        <w:t>constraint for increasing the CSOs constituency in the current legislation for a civic associations or charitable organization, which makes it difficult to expand membership as the state is demanding 2/3 or 50</w:t>
      </w:r>
      <w:r w:rsidR="006116B9">
        <w:t>per cent</w:t>
      </w:r>
      <w:r w:rsidR="00C9255D" w:rsidRPr="006718F1">
        <w:t xml:space="preserve"> quorum for decisions at civic organisations</w:t>
      </w:r>
      <w:r>
        <w:t>’</w:t>
      </w:r>
      <w:r w:rsidR="00C9255D" w:rsidRPr="006718F1">
        <w:t xml:space="preserve"> general </w:t>
      </w:r>
      <w:r w:rsidRPr="006718F1">
        <w:t>assemblies,</w:t>
      </w:r>
      <w:r>
        <w:t xml:space="preserve"> should also be mentioned</w:t>
      </w:r>
      <w:r w:rsidR="00C9255D" w:rsidRPr="006718F1">
        <w:t>. This is expected to be improved in a new NGO legislation.</w:t>
      </w:r>
    </w:p>
    <w:p w14:paraId="7591A4C6" w14:textId="77777777" w:rsidR="00C9255D" w:rsidRPr="006718F1" w:rsidRDefault="00C9255D" w:rsidP="00DB2EF0">
      <w:pPr>
        <w:rPr>
          <w:highlight w:val="yellow"/>
        </w:rPr>
      </w:pPr>
    </w:p>
    <w:p w14:paraId="7591A4C7" w14:textId="77777777" w:rsidR="00C9255D" w:rsidRPr="00CC25D0" w:rsidRDefault="00CC25D0" w:rsidP="00DB2EF0">
      <w:pPr>
        <w:rPr>
          <w:b/>
          <w:sz w:val="28"/>
          <w:szCs w:val="28"/>
          <w:lang w:eastAsia="da-DK"/>
        </w:rPr>
      </w:pPr>
      <w:r w:rsidRPr="00CC25D0">
        <w:rPr>
          <w:b/>
          <w:sz w:val="28"/>
          <w:szCs w:val="28"/>
          <w:lang w:eastAsia="da-DK"/>
        </w:rPr>
        <w:t>5</w:t>
      </w:r>
      <w:r w:rsidR="00C9255D" w:rsidRPr="00CC25D0">
        <w:rPr>
          <w:b/>
          <w:sz w:val="28"/>
          <w:szCs w:val="28"/>
          <w:lang w:eastAsia="da-DK"/>
        </w:rPr>
        <w:t xml:space="preserve">. Programme management </w:t>
      </w:r>
    </w:p>
    <w:p w14:paraId="7591A4C8" w14:textId="77777777" w:rsidR="00CC25D0" w:rsidRDefault="00CC25D0" w:rsidP="00DB2EF0">
      <w:pPr>
        <w:rPr>
          <w:lang w:eastAsia="da-DK"/>
        </w:rPr>
      </w:pPr>
    </w:p>
    <w:p w14:paraId="7591A4C9" w14:textId="77777777" w:rsidR="00C9255D" w:rsidRPr="006718F1" w:rsidRDefault="00C9255D" w:rsidP="00DB2EF0">
      <w:pPr>
        <w:rPr>
          <w:lang w:eastAsia="da-DK"/>
        </w:rPr>
      </w:pPr>
      <w:r w:rsidRPr="006718F1">
        <w:rPr>
          <w:lang w:eastAsia="da-DK"/>
        </w:rPr>
        <w:t xml:space="preserve">The Programme is managed by UNDP under a Direct Execution Modality. UNDP is responsible for the overall management of the programme. UNDP is also accountable to the Programme Board. The managerial </w:t>
      </w:r>
      <w:r w:rsidR="00DF3573" w:rsidRPr="006718F1">
        <w:rPr>
          <w:lang w:eastAsia="da-DK"/>
        </w:rPr>
        <w:t>duties of the day-to</w:t>
      </w:r>
      <w:r w:rsidR="0080352D">
        <w:rPr>
          <w:lang w:eastAsia="da-DK"/>
        </w:rPr>
        <w:t>-</w:t>
      </w:r>
      <w:r w:rsidR="00DF3573" w:rsidRPr="006718F1">
        <w:rPr>
          <w:lang w:eastAsia="da-DK"/>
        </w:rPr>
        <w:t>day running of the programme are</w:t>
      </w:r>
      <w:r w:rsidRPr="006718F1">
        <w:rPr>
          <w:lang w:eastAsia="da-DK"/>
        </w:rPr>
        <w:t xml:space="preserve"> delegated to a project coordinator.   </w:t>
      </w:r>
    </w:p>
    <w:p w14:paraId="7591A4CA" w14:textId="77777777" w:rsidR="00C9255D" w:rsidRPr="006718F1" w:rsidRDefault="00C9255D" w:rsidP="00DB2EF0">
      <w:pPr>
        <w:rPr>
          <w:lang w:eastAsia="da-DK"/>
        </w:rPr>
      </w:pPr>
    </w:p>
    <w:p w14:paraId="7591A4CB" w14:textId="77777777" w:rsidR="00C9255D" w:rsidRPr="006718F1" w:rsidRDefault="00C9255D" w:rsidP="00DB2EF0">
      <w:pPr>
        <w:rPr>
          <w:lang w:eastAsia="da-DK"/>
        </w:rPr>
      </w:pPr>
      <w:r w:rsidRPr="006718F1">
        <w:rPr>
          <w:lang w:eastAsia="da-DK"/>
        </w:rPr>
        <w:t>The programme Board consists of representatives of UNDP in Ukraine, the Danish MFA and a representative of the Civil Society Advisory Board. Meetings, which are chaired by UNDP, are semi-annual and based on a progress report submitted before the meetings. Meetings have been held regularly, all with participation from the DMFA.</w:t>
      </w:r>
      <w:r w:rsidR="00E351B8">
        <w:rPr>
          <w:lang w:eastAsia="da-DK"/>
        </w:rPr>
        <w:t xml:space="preserve"> </w:t>
      </w:r>
      <w:r w:rsidRPr="006718F1">
        <w:rPr>
          <w:lang w:eastAsia="da-DK"/>
        </w:rPr>
        <w:t xml:space="preserve"> </w:t>
      </w:r>
    </w:p>
    <w:p w14:paraId="7591A4CC" w14:textId="77777777" w:rsidR="00C9255D" w:rsidRPr="006718F1" w:rsidRDefault="00C9255D" w:rsidP="00DB2EF0">
      <w:pPr>
        <w:rPr>
          <w:lang w:eastAsia="da-DK"/>
        </w:rPr>
      </w:pPr>
    </w:p>
    <w:p w14:paraId="7591A4CD" w14:textId="77777777" w:rsidR="00C9255D" w:rsidRPr="006718F1" w:rsidRDefault="00C9255D" w:rsidP="00DB2EF0">
      <w:pPr>
        <w:rPr>
          <w:lang w:eastAsia="da-DK"/>
        </w:rPr>
      </w:pPr>
      <w:r w:rsidRPr="006718F1">
        <w:rPr>
          <w:lang w:eastAsia="da-DK"/>
        </w:rPr>
        <w:t xml:space="preserve">Reporting has been thorough, </w:t>
      </w:r>
      <w:r w:rsidR="0080352D">
        <w:rPr>
          <w:lang w:eastAsia="da-DK"/>
        </w:rPr>
        <w:t>al</w:t>
      </w:r>
      <w:r w:rsidRPr="006718F1">
        <w:rPr>
          <w:lang w:eastAsia="da-DK"/>
        </w:rPr>
        <w:t>though there is no mentioning of problems encountered and few reflections</w:t>
      </w:r>
      <w:r w:rsidR="0080352D">
        <w:rPr>
          <w:lang w:eastAsia="da-DK"/>
        </w:rPr>
        <w:t xml:space="preserve">. Furthermore, </w:t>
      </w:r>
      <w:r w:rsidRPr="006718F1">
        <w:rPr>
          <w:lang w:eastAsia="da-DK"/>
        </w:rPr>
        <w:t>the results framework mainly deals</w:t>
      </w:r>
      <w:r w:rsidR="0080352D">
        <w:rPr>
          <w:lang w:eastAsia="da-DK"/>
        </w:rPr>
        <w:t xml:space="preserve"> with</w:t>
      </w:r>
      <w:r w:rsidRPr="006718F1">
        <w:rPr>
          <w:lang w:eastAsia="da-DK"/>
        </w:rPr>
        <w:t xml:space="preserve"> physical targets</w:t>
      </w:r>
      <w:r w:rsidR="0080352D">
        <w:rPr>
          <w:lang w:eastAsia="da-DK"/>
        </w:rPr>
        <w:t>, i.e.</w:t>
      </w:r>
      <w:r w:rsidRPr="006718F1">
        <w:rPr>
          <w:lang w:eastAsia="da-DK"/>
        </w:rPr>
        <w:t xml:space="preserve"> no of activities undertaken which are fairly far from measuring outcomes and outputs. </w:t>
      </w:r>
    </w:p>
    <w:p w14:paraId="7591A4CE" w14:textId="77777777" w:rsidR="00C9255D" w:rsidRPr="006718F1" w:rsidRDefault="00C9255D" w:rsidP="00DB2EF0">
      <w:pPr>
        <w:rPr>
          <w:lang w:eastAsia="da-DK"/>
        </w:rPr>
      </w:pPr>
    </w:p>
    <w:p w14:paraId="7591A4CF" w14:textId="77777777" w:rsidR="00C9255D" w:rsidRPr="006718F1" w:rsidRDefault="00C9255D" w:rsidP="00DB2EF0">
      <w:pPr>
        <w:rPr>
          <w:lang w:eastAsia="da-DK"/>
        </w:rPr>
      </w:pPr>
      <w:r w:rsidRPr="006718F1">
        <w:rPr>
          <w:lang w:eastAsia="da-DK"/>
        </w:rPr>
        <w:t xml:space="preserve">Initially Implementing </w:t>
      </w:r>
      <w:r w:rsidR="00E351B8">
        <w:rPr>
          <w:lang w:eastAsia="da-DK"/>
        </w:rPr>
        <w:t>P</w:t>
      </w:r>
      <w:r w:rsidRPr="006718F1">
        <w:rPr>
          <w:lang w:eastAsia="da-DK"/>
        </w:rPr>
        <w:t>artners for each of the three thematic subject areas were also included in the programme. They have worked with two different modalities which to an outsider are fairly similar. Together with UNDP they assess the capacity of the CSOs, facilitate the selection for grants through a selection committee, provide possible assistance to the potential grantees in project formulation, conduct programmatic and financial management for UNDP</w:t>
      </w:r>
      <w:r w:rsidR="00977E68">
        <w:rPr>
          <w:lang w:eastAsia="da-DK"/>
        </w:rPr>
        <w:t>,</w:t>
      </w:r>
      <w:r w:rsidRPr="006718F1">
        <w:rPr>
          <w:lang w:eastAsia="da-DK"/>
        </w:rPr>
        <w:t xml:space="preserve"> monitor grants through reporting and on site monitoring</w:t>
      </w:r>
      <w:r w:rsidR="00977E68">
        <w:rPr>
          <w:lang w:eastAsia="da-DK"/>
        </w:rPr>
        <w:t>,</w:t>
      </w:r>
      <w:r w:rsidRPr="006718F1">
        <w:rPr>
          <w:lang w:eastAsia="da-DK"/>
        </w:rPr>
        <w:t xml:space="preserve"> and they report to UNDP. After 2010 UNDP has be direct</w:t>
      </w:r>
      <w:r w:rsidR="00977E68">
        <w:rPr>
          <w:lang w:eastAsia="da-DK"/>
        </w:rPr>
        <w:t>ly</w:t>
      </w:r>
      <w:r w:rsidRPr="006718F1">
        <w:rPr>
          <w:lang w:eastAsia="da-DK"/>
        </w:rPr>
        <w:t xml:space="preserve"> responsible for signing agreements. The Programme staff and UNDP Kiev ha</w:t>
      </w:r>
      <w:r w:rsidR="00977E68">
        <w:rPr>
          <w:lang w:eastAsia="da-DK"/>
        </w:rPr>
        <w:t>ve</w:t>
      </w:r>
      <w:r w:rsidRPr="006718F1">
        <w:rPr>
          <w:lang w:eastAsia="da-DK"/>
        </w:rPr>
        <w:t xml:space="preserve"> the capacity to manage and implement the programme.</w:t>
      </w:r>
    </w:p>
    <w:p w14:paraId="7591A4D0" w14:textId="77777777" w:rsidR="00C9255D" w:rsidRPr="006718F1" w:rsidRDefault="00C9255D" w:rsidP="00DB2EF0">
      <w:pPr>
        <w:rPr>
          <w:lang w:eastAsia="da-DK"/>
        </w:rPr>
      </w:pPr>
    </w:p>
    <w:p w14:paraId="7591A4D1" w14:textId="77777777" w:rsidR="00C9255D" w:rsidRDefault="00C9255D" w:rsidP="00DB2EF0">
      <w:pPr>
        <w:rPr>
          <w:lang w:eastAsia="da-DK"/>
        </w:rPr>
      </w:pPr>
      <w:r w:rsidRPr="006718F1">
        <w:rPr>
          <w:lang w:eastAsia="da-DK"/>
        </w:rPr>
        <w:t xml:space="preserve">The CSOs met by the team voiced satisfaction with the inputs from the two </w:t>
      </w:r>
      <w:r w:rsidR="00363A3C">
        <w:rPr>
          <w:lang w:eastAsia="da-DK"/>
        </w:rPr>
        <w:t>IP</w:t>
      </w:r>
      <w:r w:rsidR="00856FD7">
        <w:rPr>
          <w:lang w:eastAsia="da-DK"/>
        </w:rPr>
        <w:t>s,</w:t>
      </w:r>
      <w:r w:rsidRPr="006718F1">
        <w:rPr>
          <w:lang w:eastAsia="da-DK"/>
        </w:rPr>
        <w:t xml:space="preserve"> CCC and ISAR.</w:t>
      </w:r>
      <w:r w:rsidR="00EC71BC">
        <w:rPr>
          <w:lang w:eastAsia="da-DK"/>
        </w:rPr>
        <w:t xml:space="preserve"> This is also mentioned in the UNDPs own Medium Term Programme Review (MTPR) from October 2010 </w:t>
      </w:r>
    </w:p>
    <w:p w14:paraId="7591A4D2" w14:textId="77777777" w:rsidR="00E351B8" w:rsidRDefault="00E351B8" w:rsidP="00DB2EF0">
      <w:pPr>
        <w:rPr>
          <w:lang w:eastAsia="da-DK"/>
        </w:rPr>
      </w:pPr>
    </w:p>
    <w:p w14:paraId="7591A4D3" w14:textId="77777777" w:rsidR="00E351B8" w:rsidRPr="006718F1" w:rsidRDefault="00E351B8" w:rsidP="00DB2EF0">
      <w:pPr>
        <w:rPr>
          <w:lang w:eastAsia="da-DK"/>
        </w:rPr>
      </w:pPr>
      <w:r>
        <w:rPr>
          <w:lang w:eastAsia="da-DK"/>
        </w:rPr>
        <w:t>Programme inputs are provided so that the visibility of Danida is high.</w:t>
      </w:r>
    </w:p>
    <w:p w14:paraId="7591A4D4" w14:textId="77777777" w:rsidR="00C9255D" w:rsidRPr="006718F1" w:rsidRDefault="00C9255D" w:rsidP="00DB2EF0">
      <w:pPr>
        <w:rPr>
          <w:lang w:eastAsia="da-DK"/>
        </w:rPr>
      </w:pPr>
    </w:p>
    <w:p w14:paraId="7591A4D5" w14:textId="77777777" w:rsidR="00C9255D" w:rsidRPr="006718F1" w:rsidRDefault="00C9255D" w:rsidP="00DB2EF0">
      <w:pPr>
        <w:rPr>
          <w:lang w:eastAsia="da-DK"/>
        </w:rPr>
      </w:pPr>
      <w:r w:rsidRPr="006718F1">
        <w:rPr>
          <w:lang w:eastAsia="da-DK"/>
        </w:rPr>
        <w:t xml:space="preserve">The financial management seems to be thorough in both modalities. Everyone agreed that - with some inaccuracies in the accounts from some CSOs which were immediately corrected - there are no real mistakes. The programme is subject to the usual audit arrangements as per UNDP rules and regulations. In this case it will be a thorough financial audit of the entire programme in the spring of 2012. </w:t>
      </w:r>
    </w:p>
    <w:p w14:paraId="7591A4D6" w14:textId="77777777" w:rsidR="00C9255D" w:rsidRPr="006718F1" w:rsidRDefault="00C9255D" w:rsidP="00DB2EF0">
      <w:pPr>
        <w:rPr>
          <w:lang w:eastAsia="da-DK"/>
        </w:rPr>
      </w:pPr>
    </w:p>
    <w:p w14:paraId="7591A4D7" w14:textId="77777777" w:rsidR="00C9255D" w:rsidRPr="006718F1" w:rsidRDefault="00C9255D" w:rsidP="00DB2EF0">
      <w:pPr>
        <w:rPr>
          <w:lang w:eastAsia="da-DK"/>
        </w:rPr>
      </w:pPr>
      <w:r w:rsidRPr="006718F1">
        <w:rPr>
          <w:lang w:eastAsia="da-DK"/>
        </w:rPr>
        <w:t xml:space="preserve">Most modalities and strategies applied in Ukraine focuses on control and upward accountability. The programme staff could, however, benefit from knowing better from </w:t>
      </w:r>
      <w:r w:rsidR="002143FC">
        <w:rPr>
          <w:lang w:eastAsia="da-DK"/>
        </w:rPr>
        <w:t>other</w:t>
      </w:r>
      <w:r w:rsidRPr="006718F1">
        <w:rPr>
          <w:lang w:eastAsia="da-DK"/>
        </w:rPr>
        <w:t xml:space="preserve"> ways of supporting civil society</w:t>
      </w:r>
      <w:r w:rsidR="002143FC">
        <w:rPr>
          <w:lang w:eastAsia="da-DK"/>
        </w:rPr>
        <w:t>,</w:t>
      </w:r>
      <w:r w:rsidRPr="006718F1">
        <w:rPr>
          <w:lang w:eastAsia="da-DK"/>
        </w:rPr>
        <w:t xml:space="preserve"> which are more in acc</w:t>
      </w:r>
      <w:r w:rsidR="002143FC">
        <w:rPr>
          <w:lang w:eastAsia="da-DK"/>
        </w:rPr>
        <w:t>ordance</w:t>
      </w:r>
      <w:r w:rsidRPr="006718F1">
        <w:rPr>
          <w:lang w:eastAsia="da-DK"/>
        </w:rPr>
        <w:t xml:space="preserve"> with the Paris </w:t>
      </w:r>
      <w:r w:rsidR="00E351B8">
        <w:rPr>
          <w:lang w:eastAsia="da-DK"/>
        </w:rPr>
        <w:t>D</w:t>
      </w:r>
      <w:r w:rsidRPr="006718F1">
        <w:rPr>
          <w:lang w:eastAsia="da-DK"/>
        </w:rPr>
        <w:t>eclara</w:t>
      </w:r>
      <w:r w:rsidR="00E351B8">
        <w:rPr>
          <w:lang w:eastAsia="da-DK"/>
        </w:rPr>
        <w:t>t</w:t>
      </w:r>
      <w:r w:rsidRPr="006718F1">
        <w:rPr>
          <w:lang w:eastAsia="da-DK"/>
        </w:rPr>
        <w:t>ion and the Accra Agenda for Action. It could</w:t>
      </w:r>
      <w:r w:rsidR="002143FC">
        <w:rPr>
          <w:lang w:eastAsia="da-DK"/>
        </w:rPr>
        <w:t>,</w:t>
      </w:r>
      <w:r w:rsidRPr="006718F1">
        <w:rPr>
          <w:lang w:eastAsia="da-DK"/>
        </w:rPr>
        <w:t xml:space="preserve"> therefore</w:t>
      </w:r>
      <w:r w:rsidR="002143FC">
        <w:rPr>
          <w:lang w:eastAsia="da-DK"/>
        </w:rPr>
        <w:t>,</w:t>
      </w:r>
      <w:r w:rsidRPr="006718F1">
        <w:rPr>
          <w:lang w:eastAsia="da-DK"/>
        </w:rPr>
        <w:t xml:space="preserve"> be considered to send the programme manager on a suitable training course.</w:t>
      </w:r>
    </w:p>
    <w:p w14:paraId="7591A4D8" w14:textId="77777777" w:rsidR="00C9255D" w:rsidRPr="006718F1" w:rsidRDefault="00C9255D" w:rsidP="00DB2EF0">
      <w:pPr>
        <w:rPr>
          <w:lang w:eastAsia="da-DK"/>
        </w:rPr>
      </w:pPr>
    </w:p>
    <w:p w14:paraId="7591A4D9" w14:textId="77777777" w:rsidR="00C9255D" w:rsidRPr="00C42D11" w:rsidRDefault="002B0A63" w:rsidP="00DB2EF0">
      <w:pPr>
        <w:rPr>
          <w:b/>
          <w:i/>
          <w:lang w:eastAsia="da-DK"/>
        </w:rPr>
      </w:pPr>
      <w:r>
        <w:rPr>
          <w:b/>
          <w:i/>
          <w:lang w:eastAsia="da-DK"/>
        </w:rPr>
        <w:t xml:space="preserve">5.1 </w:t>
      </w:r>
      <w:r w:rsidR="00C9255D" w:rsidRPr="00C42D11">
        <w:rPr>
          <w:b/>
          <w:i/>
          <w:lang w:eastAsia="da-DK"/>
        </w:rPr>
        <w:t xml:space="preserve">Budget    </w:t>
      </w:r>
    </w:p>
    <w:p w14:paraId="7591A4DA" w14:textId="77777777" w:rsidR="007B3DC2" w:rsidRDefault="00C9255D" w:rsidP="00DB2EF0">
      <w:pPr>
        <w:rPr>
          <w:lang w:eastAsia="da-DK"/>
        </w:rPr>
      </w:pPr>
      <w:r w:rsidRPr="006718F1">
        <w:rPr>
          <w:lang w:eastAsia="da-DK"/>
        </w:rPr>
        <w:t xml:space="preserve">Spending follows annual budgets which are made and agreed upon in the </w:t>
      </w:r>
      <w:r w:rsidR="002143FC">
        <w:rPr>
          <w:lang w:eastAsia="da-DK"/>
        </w:rPr>
        <w:t>S</w:t>
      </w:r>
      <w:r w:rsidRPr="006718F1">
        <w:rPr>
          <w:lang w:eastAsia="da-DK"/>
        </w:rPr>
        <w:t xml:space="preserve">teering </w:t>
      </w:r>
      <w:r w:rsidR="002143FC">
        <w:rPr>
          <w:lang w:eastAsia="da-DK"/>
        </w:rPr>
        <w:t>C</w:t>
      </w:r>
      <w:r w:rsidRPr="006718F1">
        <w:rPr>
          <w:lang w:eastAsia="da-DK"/>
        </w:rPr>
        <w:t>ommittee. The budget has thus changed slightly from the outset, with changes</w:t>
      </w:r>
      <w:r w:rsidR="00AD55A7">
        <w:rPr>
          <w:lang w:eastAsia="da-DK"/>
        </w:rPr>
        <w:t xml:space="preserve"> which are </w:t>
      </w:r>
      <w:r w:rsidRPr="006718F1">
        <w:rPr>
          <w:lang w:eastAsia="da-DK"/>
        </w:rPr>
        <w:t xml:space="preserve">within the allowed limits. Overall the programme seems to be within budget. </w:t>
      </w:r>
      <w:r w:rsidR="007B3DC2" w:rsidRPr="007B3DC2">
        <w:rPr>
          <w:lang w:eastAsia="da-DK"/>
        </w:rPr>
        <w:t>According to figures provided by the CSDP</w:t>
      </w:r>
      <w:r w:rsidR="006116B9">
        <w:rPr>
          <w:lang w:eastAsia="da-DK"/>
        </w:rPr>
        <w:t>,</w:t>
      </w:r>
      <w:r w:rsidR="007B3DC2" w:rsidRPr="007B3DC2">
        <w:rPr>
          <w:lang w:eastAsia="da-DK"/>
        </w:rPr>
        <w:t xml:space="preserve"> 980</w:t>
      </w:r>
      <w:r w:rsidR="006116B9">
        <w:rPr>
          <w:lang w:eastAsia="da-DK"/>
        </w:rPr>
        <w:t>,</w:t>
      </w:r>
      <w:r w:rsidR="007B3DC2" w:rsidRPr="007B3DC2">
        <w:rPr>
          <w:lang w:eastAsia="da-DK"/>
        </w:rPr>
        <w:t>625 USD is left at present. This leaves sufficient funds for the remaining nine months as</w:t>
      </w:r>
      <w:r w:rsidR="006116B9">
        <w:rPr>
          <w:lang w:eastAsia="da-DK"/>
        </w:rPr>
        <w:t xml:space="preserve"> new</w:t>
      </w:r>
      <w:r w:rsidR="007B3DC2" w:rsidRPr="007B3DC2">
        <w:rPr>
          <w:lang w:eastAsia="da-DK"/>
        </w:rPr>
        <w:t xml:space="preserve"> funds to cover a “balance”</w:t>
      </w:r>
      <w:r w:rsidR="00D861F3">
        <w:rPr>
          <w:lang w:eastAsia="da-DK"/>
        </w:rPr>
        <w:t xml:space="preserve"> of 97,569 USD</w:t>
      </w:r>
      <w:r w:rsidR="007B3DC2" w:rsidRPr="007B3DC2">
        <w:rPr>
          <w:lang w:eastAsia="da-DK"/>
        </w:rPr>
        <w:t xml:space="preserve"> in 2012 will be provided by UNDP, according to </w:t>
      </w:r>
      <w:r w:rsidR="006116B9">
        <w:rPr>
          <w:lang w:eastAsia="da-DK"/>
        </w:rPr>
        <w:t>the</w:t>
      </w:r>
      <w:r w:rsidR="007B3DC2" w:rsidRPr="007B3DC2">
        <w:rPr>
          <w:lang w:eastAsia="da-DK"/>
        </w:rPr>
        <w:t xml:space="preserve"> cost sharing arrangement with DMFA. </w:t>
      </w:r>
    </w:p>
    <w:p w14:paraId="7591A4DB" w14:textId="77777777" w:rsidR="007B3DC2" w:rsidRDefault="007B3DC2" w:rsidP="00DB2EF0">
      <w:pPr>
        <w:rPr>
          <w:lang w:eastAsia="da-DK"/>
        </w:rPr>
      </w:pPr>
    </w:p>
    <w:p w14:paraId="7591A4DC" w14:textId="77777777" w:rsidR="00C9255D" w:rsidRPr="00C42D11" w:rsidRDefault="002B0A63" w:rsidP="00DB2EF0">
      <w:pPr>
        <w:rPr>
          <w:b/>
          <w:i/>
          <w:lang w:eastAsia="da-DK"/>
        </w:rPr>
      </w:pPr>
      <w:r>
        <w:rPr>
          <w:b/>
          <w:i/>
          <w:lang w:eastAsia="da-DK"/>
        </w:rPr>
        <w:t xml:space="preserve">5.2 </w:t>
      </w:r>
      <w:r w:rsidR="00C9255D" w:rsidRPr="00C42D11">
        <w:rPr>
          <w:b/>
          <w:i/>
          <w:lang w:eastAsia="da-DK"/>
        </w:rPr>
        <w:t>The relation between physical and financial progress</w:t>
      </w:r>
    </w:p>
    <w:p w14:paraId="7591A4DD" w14:textId="77777777" w:rsidR="00C9255D" w:rsidRPr="006718F1" w:rsidRDefault="00C9255D" w:rsidP="00DB2EF0">
      <w:pPr>
        <w:rPr>
          <w:lang w:eastAsia="da-DK"/>
        </w:rPr>
      </w:pPr>
      <w:r w:rsidRPr="006718F1">
        <w:rPr>
          <w:lang w:eastAsia="da-DK"/>
        </w:rPr>
        <w:t>As mentioned in chapter 2</w:t>
      </w:r>
      <w:r w:rsidR="006116B9">
        <w:rPr>
          <w:lang w:eastAsia="da-DK"/>
        </w:rPr>
        <w:t>,</w:t>
      </w:r>
      <w:r w:rsidRPr="006718F1">
        <w:rPr>
          <w:lang w:eastAsia="da-DK"/>
        </w:rPr>
        <w:t xml:space="preserve"> the physical progress has been good in all programme activities. One component has</w:t>
      </w:r>
      <w:r w:rsidR="00E351B8">
        <w:rPr>
          <w:lang w:eastAsia="da-DK"/>
        </w:rPr>
        <w:t>,</w:t>
      </w:r>
      <w:r w:rsidRPr="006718F1">
        <w:rPr>
          <w:lang w:eastAsia="da-DK"/>
        </w:rPr>
        <w:t xml:space="preserve"> although successful</w:t>
      </w:r>
      <w:r w:rsidR="00E351B8">
        <w:rPr>
          <w:lang w:eastAsia="da-DK"/>
        </w:rPr>
        <w:t>,</w:t>
      </w:r>
      <w:r w:rsidRPr="006718F1">
        <w:rPr>
          <w:lang w:eastAsia="da-DK"/>
        </w:rPr>
        <w:t xml:space="preserve"> spent much less than anticipated </w:t>
      </w:r>
      <w:r w:rsidR="006116B9">
        <w:rPr>
          <w:lang w:eastAsia="da-DK"/>
        </w:rPr>
        <w:t xml:space="preserve">– </w:t>
      </w:r>
      <w:r w:rsidRPr="006718F1">
        <w:rPr>
          <w:lang w:eastAsia="da-DK"/>
        </w:rPr>
        <w:t>the support to the legal framework. The largest budget entry in the programme is grants to the CSOs</w:t>
      </w:r>
      <w:r w:rsidR="006116B9">
        <w:rPr>
          <w:lang w:eastAsia="da-DK"/>
        </w:rPr>
        <w:t xml:space="preserve">. The </w:t>
      </w:r>
      <w:r w:rsidRPr="006718F1">
        <w:rPr>
          <w:lang w:eastAsia="da-DK"/>
        </w:rPr>
        <w:t xml:space="preserve">programme is now supporting more CSO projects than the 90 originally anticipated. </w:t>
      </w:r>
    </w:p>
    <w:p w14:paraId="7591A4DE" w14:textId="77777777" w:rsidR="00C9255D" w:rsidRPr="006718F1" w:rsidRDefault="00C9255D" w:rsidP="00DB2EF0">
      <w:pPr>
        <w:rPr>
          <w:lang w:eastAsia="da-DK"/>
        </w:rPr>
      </w:pPr>
    </w:p>
    <w:p w14:paraId="7591A4DF" w14:textId="77777777" w:rsidR="00C9255D" w:rsidRPr="006718F1" w:rsidRDefault="00C9255D" w:rsidP="00DB2EF0">
      <w:pPr>
        <w:rPr>
          <w:lang w:eastAsia="da-DK"/>
        </w:rPr>
      </w:pPr>
      <w:r w:rsidRPr="006718F1">
        <w:rPr>
          <w:lang w:eastAsia="da-DK"/>
        </w:rPr>
        <w:t>The team has two remarks concerning the budget as it looks today. The final budget for the IPs is as low as only 9</w:t>
      </w:r>
      <w:r w:rsidR="006116B9">
        <w:rPr>
          <w:lang w:eastAsia="da-DK"/>
        </w:rPr>
        <w:t xml:space="preserve"> per cent. T</w:t>
      </w:r>
      <w:r w:rsidRPr="006718F1">
        <w:rPr>
          <w:lang w:eastAsia="da-DK"/>
        </w:rPr>
        <w:t>his indicates that whatever TOR they were working under</w:t>
      </w:r>
      <w:r w:rsidR="006116B9">
        <w:rPr>
          <w:lang w:eastAsia="da-DK"/>
        </w:rPr>
        <w:t>,</w:t>
      </w:r>
      <w:r w:rsidRPr="006718F1">
        <w:rPr>
          <w:lang w:eastAsia="da-DK"/>
        </w:rPr>
        <w:t xml:space="preserve"> with all requirement on the tendering and reporting process</w:t>
      </w:r>
      <w:r w:rsidR="00E351B8">
        <w:rPr>
          <w:lang w:eastAsia="da-DK"/>
        </w:rPr>
        <w:t>,</w:t>
      </w:r>
      <w:r w:rsidRPr="006718F1">
        <w:rPr>
          <w:lang w:eastAsia="da-DK"/>
        </w:rPr>
        <w:t xml:space="preserve"> there were </w:t>
      </w:r>
      <w:r w:rsidR="00E351B8">
        <w:rPr>
          <w:lang w:eastAsia="da-DK"/>
        </w:rPr>
        <w:t>little</w:t>
      </w:r>
      <w:r w:rsidRPr="006718F1">
        <w:rPr>
          <w:lang w:eastAsia="da-DK"/>
        </w:rPr>
        <w:t xml:space="preserve"> funds for capacity development of CSOs</w:t>
      </w:r>
      <w:r w:rsidR="00BC1774">
        <w:rPr>
          <w:lang w:eastAsia="da-DK"/>
        </w:rPr>
        <w:t xml:space="preserve"> in addition to the training events mentioned </w:t>
      </w:r>
      <w:r w:rsidR="00224401">
        <w:rPr>
          <w:lang w:eastAsia="da-DK"/>
        </w:rPr>
        <w:t>in chapter 3 f</w:t>
      </w:r>
      <w:r w:rsidRPr="006718F1">
        <w:rPr>
          <w:lang w:eastAsia="da-DK"/>
        </w:rPr>
        <w:t>. It is also evident from the DIHR budget that training and capacity development by an international organisation is rather costly – about 12</w:t>
      </w:r>
      <w:r w:rsidR="006116B9">
        <w:rPr>
          <w:lang w:eastAsia="da-DK"/>
        </w:rPr>
        <w:t xml:space="preserve"> per cent</w:t>
      </w:r>
      <w:r w:rsidRPr="006718F1">
        <w:rPr>
          <w:lang w:eastAsia="da-DK"/>
        </w:rPr>
        <w:t xml:space="preserve"> of</w:t>
      </w:r>
      <w:r w:rsidR="00E351B8">
        <w:rPr>
          <w:lang w:eastAsia="da-DK"/>
        </w:rPr>
        <w:t xml:space="preserve"> the total</w:t>
      </w:r>
      <w:r w:rsidRPr="006718F1">
        <w:rPr>
          <w:lang w:eastAsia="da-DK"/>
        </w:rPr>
        <w:t xml:space="preserve"> budget. This highlights the need to apply their services in a strategic manner, which the programme also seems to have done. Management comprise presently about </w:t>
      </w:r>
      <w:r w:rsidR="00E351B8">
        <w:rPr>
          <w:lang w:eastAsia="da-DK"/>
        </w:rPr>
        <w:t>13</w:t>
      </w:r>
      <w:r w:rsidR="00856FD7">
        <w:rPr>
          <w:lang w:eastAsia="da-DK"/>
        </w:rPr>
        <w:t xml:space="preserve"> </w:t>
      </w:r>
      <w:r w:rsidR="006116B9">
        <w:rPr>
          <w:lang w:eastAsia="da-DK"/>
        </w:rPr>
        <w:t>per cent</w:t>
      </w:r>
      <w:r w:rsidR="00856FD7">
        <w:rPr>
          <w:lang w:eastAsia="da-DK"/>
        </w:rPr>
        <w:t xml:space="preserve"> of the budget. </w:t>
      </w:r>
      <w:r w:rsidR="00856FD7" w:rsidRPr="00856FD7">
        <w:rPr>
          <w:lang w:eastAsia="da-DK"/>
        </w:rPr>
        <w:t>(UNDPs overhead comprises an additional 7</w:t>
      </w:r>
      <w:r w:rsidR="006116B9">
        <w:rPr>
          <w:lang w:eastAsia="da-DK"/>
        </w:rPr>
        <w:t xml:space="preserve"> per cent</w:t>
      </w:r>
      <w:r w:rsidR="00856FD7" w:rsidRPr="00856FD7">
        <w:rPr>
          <w:lang w:eastAsia="da-DK"/>
        </w:rPr>
        <w:t xml:space="preserve">)  </w:t>
      </w:r>
    </w:p>
    <w:p w14:paraId="7591A4E0" w14:textId="77777777" w:rsidR="00C9255D" w:rsidRPr="006718F1" w:rsidRDefault="00C9255D" w:rsidP="00DB2EF0">
      <w:pPr>
        <w:rPr>
          <w:lang w:eastAsia="da-DK"/>
        </w:rPr>
      </w:pPr>
    </w:p>
    <w:p w14:paraId="7591A4E1" w14:textId="77777777" w:rsidR="00C9255D" w:rsidRPr="006718F1" w:rsidRDefault="00C9255D" w:rsidP="00DB2EF0">
      <w:pPr>
        <w:rPr>
          <w:lang w:eastAsia="da-DK"/>
        </w:rPr>
      </w:pPr>
      <w:r w:rsidRPr="006718F1">
        <w:rPr>
          <w:lang w:eastAsia="da-DK"/>
        </w:rPr>
        <w:t xml:space="preserve">The review agrees with the MTPR that there should be a focus on scalability and replicability in relation to the grants this would ensure even better progress. </w:t>
      </w:r>
    </w:p>
    <w:p w14:paraId="7591A4E2" w14:textId="77777777" w:rsidR="00C9255D" w:rsidRPr="006718F1" w:rsidRDefault="00C9255D" w:rsidP="00DB2EF0"/>
    <w:p w14:paraId="7591A4E3" w14:textId="77777777" w:rsidR="00C9255D" w:rsidRDefault="00C42D11" w:rsidP="00DB2EF0">
      <w:pPr>
        <w:rPr>
          <w:b/>
          <w:sz w:val="28"/>
          <w:szCs w:val="28"/>
        </w:rPr>
      </w:pPr>
      <w:r>
        <w:rPr>
          <w:b/>
          <w:sz w:val="28"/>
          <w:szCs w:val="28"/>
        </w:rPr>
        <w:t xml:space="preserve">6. </w:t>
      </w:r>
      <w:r w:rsidR="00C9255D" w:rsidRPr="00C42D11">
        <w:rPr>
          <w:b/>
          <w:sz w:val="28"/>
          <w:szCs w:val="28"/>
        </w:rPr>
        <w:t xml:space="preserve">Vulnerable target groups and poverty orientation </w:t>
      </w:r>
    </w:p>
    <w:p w14:paraId="7591A4E4" w14:textId="77777777" w:rsidR="002B0A63" w:rsidRPr="006718F1" w:rsidRDefault="002B0A63" w:rsidP="00DB2EF0"/>
    <w:p w14:paraId="7591A4E5" w14:textId="77777777" w:rsidR="00C9255D" w:rsidRPr="006718F1" w:rsidRDefault="00C9255D" w:rsidP="00DB2EF0">
      <w:r w:rsidRPr="006718F1">
        <w:t>In spite of a fairly high GDP per head (6,696 US $ PPP in 2010</w:t>
      </w:r>
      <w:r w:rsidRPr="006718F1">
        <w:rPr>
          <w:rStyle w:val="FootnoteReference"/>
          <w:rFonts w:cs="Arial"/>
        </w:rPr>
        <w:footnoteReference w:id="6"/>
      </w:r>
      <w:r w:rsidR="00AD55A7">
        <w:t>),</w:t>
      </w:r>
      <w:r w:rsidRPr="006718F1">
        <w:t xml:space="preserve"> there is a large number of Vulnerable and Poor</w:t>
      </w:r>
      <w:r w:rsidR="00E53065">
        <w:t xml:space="preserve"> in Ukraine</w:t>
      </w:r>
      <w:r w:rsidRPr="006718F1">
        <w:t>. In 2009</w:t>
      </w:r>
      <w:r w:rsidR="006116B9">
        <w:t>,</w:t>
      </w:r>
      <w:r w:rsidRPr="006718F1">
        <w:t xml:space="preserve"> 26.4 </w:t>
      </w:r>
      <w:r w:rsidR="006116B9">
        <w:t xml:space="preserve">per cent </w:t>
      </w:r>
      <w:r w:rsidRPr="006718F1">
        <w:t xml:space="preserve">of the population were under the poverty line. </w:t>
      </w:r>
      <w:r w:rsidR="00E53065">
        <w:t xml:space="preserve">A </w:t>
      </w:r>
      <w:r w:rsidRPr="006718F1">
        <w:t>recent report documents that when a multidim</w:t>
      </w:r>
      <w:r w:rsidR="00E351B8">
        <w:t>en</w:t>
      </w:r>
      <w:r w:rsidRPr="006718F1">
        <w:t>sion</w:t>
      </w:r>
      <w:r w:rsidR="00E351B8">
        <w:t>a</w:t>
      </w:r>
      <w:r w:rsidRPr="006718F1">
        <w:t>l social exclusion is applied 37.7 per</w:t>
      </w:r>
      <w:r w:rsidR="006116B9">
        <w:t xml:space="preserve"> </w:t>
      </w:r>
      <w:r w:rsidRPr="006718F1">
        <w:t>cent experience acute exclusion while 16.9</w:t>
      </w:r>
      <w:r w:rsidR="006116B9">
        <w:t xml:space="preserve"> per cent </w:t>
      </w:r>
      <w:r w:rsidR="006E10F7">
        <w:t xml:space="preserve">suffer from </w:t>
      </w:r>
      <w:r w:rsidRPr="006718F1">
        <w:t>critical exclusion.</w:t>
      </w:r>
      <w:r w:rsidRPr="006718F1">
        <w:rPr>
          <w:rStyle w:val="FootnoteReference"/>
          <w:rFonts w:cs="Arial"/>
        </w:rPr>
        <w:footnoteReference w:id="7"/>
      </w:r>
      <w:r w:rsidRPr="006718F1">
        <w:t xml:space="preserve"> </w:t>
      </w:r>
    </w:p>
    <w:p w14:paraId="7591A4E6" w14:textId="77777777" w:rsidR="00C9255D" w:rsidRPr="006718F1" w:rsidRDefault="00C9255D" w:rsidP="00DB2EF0"/>
    <w:p w14:paraId="7591A4E7" w14:textId="77777777" w:rsidR="00C9255D" w:rsidRPr="006718F1" w:rsidRDefault="00C9255D" w:rsidP="00DB2EF0">
      <w:pPr>
        <w:rPr>
          <w:rFonts w:cs="Arial"/>
        </w:rPr>
      </w:pPr>
      <w:r w:rsidRPr="006718F1">
        <w:t xml:space="preserve">Although not a requirement in the Neighbourhood Programme, the CSDP addresses vulnerability and </w:t>
      </w:r>
      <w:r w:rsidRPr="006718F1">
        <w:lastRenderedPageBreak/>
        <w:t>exclusion</w:t>
      </w:r>
      <w:r w:rsidR="00E351B8">
        <w:t>.</w:t>
      </w:r>
      <w:r w:rsidR="00E53065">
        <w:t xml:space="preserve"> This should be looked into in the forthcoming impact assessment.  </w:t>
      </w:r>
    </w:p>
    <w:p w14:paraId="7591A4E8" w14:textId="77777777" w:rsidR="00C9255D" w:rsidRPr="006718F1" w:rsidRDefault="00C9255D" w:rsidP="00DB2EF0"/>
    <w:p w14:paraId="7591A4E9" w14:textId="77777777" w:rsidR="00C9255D" w:rsidRPr="00C42D11" w:rsidRDefault="00C42D11" w:rsidP="00C42D11">
      <w:pPr>
        <w:rPr>
          <w:b/>
          <w:sz w:val="28"/>
          <w:szCs w:val="28"/>
        </w:rPr>
      </w:pPr>
      <w:r>
        <w:rPr>
          <w:b/>
          <w:sz w:val="28"/>
          <w:szCs w:val="28"/>
        </w:rPr>
        <w:t xml:space="preserve">7. </w:t>
      </w:r>
      <w:r w:rsidR="00C9255D" w:rsidRPr="00C42D11">
        <w:rPr>
          <w:b/>
          <w:sz w:val="28"/>
          <w:szCs w:val="28"/>
        </w:rPr>
        <w:t xml:space="preserve">Considerations of gender and environment </w:t>
      </w:r>
    </w:p>
    <w:p w14:paraId="7591A4EA" w14:textId="77777777" w:rsidR="00C9255D" w:rsidRPr="006718F1" w:rsidRDefault="00C9255D" w:rsidP="00DB2EF0"/>
    <w:p w14:paraId="7591A4EB" w14:textId="77777777" w:rsidR="00C9255D" w:rsidRPr="006718F1" w:rsidRDefault="00C9255D" w:rsidP="00DB2EF0">
      <w:r w:rsidRPr="006718F1">
        <w:t xml:space="preserve">Although only addressing </w:t>
      </w:r>
      <w:r w:rsidRPr="006718F1">
        <w:rPr>
          <w:b/>
        </w:rPr>
        <w:t xml:space="preserve">gender </w:t>
      </w:r>
      <w:r w:rsidRPr="006718F1">
        <w:t xml:space="preserve">specifically in a few cases, the programme seems generally to have mainstreamed gender. It has a balanced provision of resources to women led and men led CSOs (58 and 48 respectively). </w:t>
      </w:r>
    </w:p>
    <w:p w14:paraId="7591A4EC" w14:textId="77777777" w:rsidR="00C9255D" w:rsidRPr="006718F1" w:rsidRDefault="00C9255D" w:rsidP="00DB2EF0"/>
    <w:p w14:paraId="7591A4ED" w14:textId="77777777" w:rsidR="00C9255D" w:rsidRPr="006718F1" w:rsidRDefault="00C9255D" w:rsidP="00DB2EF0">
      <w:r w:rsidRPr="006718F1">
        <w:t>The CSOs are required to ensure equal participation of women and men in project activities. There is gender balanced participation in training activities and in international study visits.</w:t>
      </w:r>
      <w:r w:rsidR="00E53065">
        <w:t xml:space="preserve"> </w:t>
      </w:r>
      <w:r w:rsidRPr="006718F1">
        <w:t>Finally there are 5 projects which specifically target gender equality and women’s rights</w:t>
      </w:r>
    </w:p>
    <w:p w14:paraId="7591A4EE" w14:textId="77777777" w:rsidR="00C9255D" w:rsidRPr="006718F1" w:rsidRDefault="00C9255D" w:rsidP="00DB2EF0"/>
    <w:p w14:paraId="7591A4EF" w14:textId="77777777" w:rsidR="00C9255D" w:rsidRPr="006718F1" w:rsidRDefault="00C9255D" w:rsidP="00DB2EF0">
      <w:r w:rsidRPr="006718F1">
        <w:rPr>
          <w:b/>
        </w:rPr>
        <w:t>Environmental</w:t>
      </w:r>
      <w:r w:rsidRPr="006718F1">
        <w:t xml:space="preserve"> improvement or protection is not a specific target for the CSDP</w:t>
      </w:r>
      <w:r w:rsidR="006E10F7">
        <w:t>. H</w:t>
      </w:r>
      <w:r w:rsidRPr="006718F1">
        <w:t xml:space="preserve">owever, the improved possibilities for all NGOs which </w:t>
      </w:r>
      <w:r w:rsidR="006E10F7">
        <w:t>C</w:t>
      </w:r>
      <w:r w:rsidRPr="006718F1">
        <w:t>omponent 2 works toward</w:t>
      </w:r>
      <w:r w:rsidR="006E10F7">
        <w:t xml:space="preserve">, </w:t>
      </w:r>
      <w:r w:rsidRPr="006718F1">
        <w:t xml:space="preserve">has also benefitted environmental CSOs. </w:t>
      </w:r>
      <w:r w:rsidR="00E53065">
        <w:t xml:space="preserve">Furthermore, environmental movements often engage in democratic processes. </w:t>
      </w:r>
      <w:r w:rsidRPr="006718F1">
        <w:t xml:space="preserve"> </w:t>
      </w:r>
    </w:p>
    <w:p w14:paraId="7591A4F0" w14:textId="77777777" w:rsidR="00C9255D" w:rsidRPr="006718F1" w:rsidRDefault="00C9255D" w:rsidP="00DB2EF0"/>
    <w:p w14:paraId="7591A4F1" w14:textId="77777777" w:rsidR="00C9255D" w:rsidRDefault="00C42D11" w:rsidP="00DB2EF0">
      <w:pPr>
        <w:rPr>
          <w:b/>
          <w:sz w:val="28"/>
          <w:szCs w:val="28"/>
        </w:rPr>
      </w:pPr>
      <w:r>
        <w:rPr>
          <w:b/>
          <w:sz w:val="28"/>
          <w:szCs w:val="28"/>
        </w:rPr>
        <w:t>8</w:t>
      </w:r>
      <w:r w:rsidR="00C9255D" w:rsidRPr="00C42D11">
        <w:rPr>
          <w:b/>
          <w:sz w:val="28"/>
          <w:szCs w:val="28"/>
        </w:rPr>
        <w:t>.  Assumptions and risks</w:t>
      </w:r>
    </w:p>
    <w:p w14:paraId="7591A4F2" w14:textId="77777777" w:rsidR="00C42D11" w:rsidRPr="00C42D11" w:rsidRDefault="00C42D11" w:rsidP="00DB2EF0">
      <w:pPr>
        <w:rPr>
          <w:b/>
          <w:sz w:val="28"/>
          <w:szCs w:val="28"/>
        </w:rPr>
      </w:pPr>
    </w:p>
    <w:p w14:paraId="7591A4F3" w14:textId="77777777" w:rsidR="00F12C15" w:rsidRDefault="00C9255D" w:rsidP="00DB2EF0">
      <w:r w:rsidRPr="006718F1">
        <w:t xml:space="preserve">The Danish programme documents comprised two </w:t>
      </w:r>
      <w:r w:rsidRPr="00C42D11">
        <w:t>assumptions</w:t>
      </w:r>
      <w:r w:rsidR="006E10F7">
        <w:t>:</w:t>
      </w:r>
      <w:r w:rsidRPr="00C42D11">
        <w:t xml:space="preserve"> </w:t>
      </w:r>
      <w:r w:rsidRPr="006718F1">
        <w:t xml:space="preserve">1) That there is room for CSO activities in Ukraine and 2) that </w:t>
      </w:r>
      <w:r w:rsidRPr="00C42D11">
        <w:t xml:space="preserve">the Cabinet of Ministers, the Verkhovna Rada of Ukraine and the Ukrainian civil service is genuinely interested in reforming the sector and will be open to engage in a constructive dialogue with CSOs. </w:t>
      </w:r>
      <w:r w:rsidRPr="006718F1">
        <w:t xml:space="preserve">The first is demonstrated. It seems however that it was an issue for CSDP to find sufficient CSOs engaged in </w:t>
      </w:r>
      <w:r w:rsidR="00224401">
        <w:t xml:space="preserve">at least one of the </w:t>
      </w:r>
      <w:r w:rsidRPr="006718F1">
        <w:t>pla</w:t>
      </w:r>
      <w:r w:rsidR="006E10F7">
        <w:t>n</w:t>
      </w:r>
      <w:r w:rsidRPr="006718F1">
        <w:t xml:space="preserve">ned thematic areas – the rights of suspected, accused and convicted persons. So they have broadened the range of themes. </w:t>
      </w:r>
      <w:r w:rsidR="006E10F7">
        <w:t>Regarding the second assumption t</w:t>
      </w:r>
      <w:r w:rsidRPr="006718F1">
        <w:t>he adoption of the Law on Civil Associations in the first reading in the parliament</w:t>
      </w:r>
      <w:r w:rsidR="006E10F7">
        <w:t xml:space="preserve"> show that </w:t>
      </w:r>
      <w:r w:rsidR="00F12C15">
        <w:t>it has been fulfilled</w:t>
      </w:r>
      <w:r w:rsidRPr="006718F1">
        <w:t>, but recent political changes also show that the interest</w:t>
      </w:r>
      <w:r w:rsidR="00C03C46">
        <w:t xml:space="preserve"> and influence</w:t>
      </w:r>
      <w:r w:rsidRPr="006718F1">
        <w:t xml:space="preserve"> of the president will be much more important in the future.</w:t>
      </w:r>
    </w:p>
    <w:p w14:paraId="7591A4F4" w14:textId="77777777" w:rsidR="00C9255D" w:rsidRPr="006718F1" w:rsidRDefault="00C9255D" w:rsidP="00DB2EF0">
      <w:r w:rsidRPr="006718F1">
        <w:t xml:space="preserve"> </w:t>
      </w:r>
    </w:p>
    <w:p w14:paraId="7591A4F5" w14:textId="77777777" w:rsidR="00C9255D" w:rsidRPr="006718F1" w:rsidRDefault="00C9255D" w:rsidP="00DB2EF0">
      <w:r w:rsidRPr="006718F1">
        <w:t xml:space="preserve">Four </w:t>
      </w:r>
      <w:r w:rsidRPr="00C42D11">
        <w:t>risks</w:t>
      </w:r>
      <w:r w:rsidRPr="006718F1">
        <w:t xml:space="preserve"> have been mentioned. </w:t>
      </w:r>
    </w:p>
    <w:p w14:paraId="7591A4F6" w14:textId="77777777" w:rsidR="00C42D11" w:rsidRDefault="00C42D11" w:rsidP="00DB2EF0">
      <w:pPr>
        <w:rPr>
          <w:rFonts w:eastAsia="Calibri"/>
          <w:i/>
        </w:rPr>
      </w:pPr>
    </w:p>
    <w:p w14:paraId="7591A4F7" w14:textId="77777777" w:rsidR="00C9255D" w:rsidRPr="006718F1" w:rsidRDefault="00C9255D" w:rsidP="00DB2EF0">
      <w:r w:rsidRPr="006718F1">
        <w:rPr>
          <w:rFonts w:eastAsia="Calibri"/>
          <w:i/>
        </w:rPr>
        <w:t>Political instability</w:t>
      </w:r>
      <w:r w:rsidRPr="006718F1">
        <w:rPr>
          <w:rFonts w:eastAsia="Calibri"/>
        </w:rPr>
        <w:t xml:space="preserve">. There </w:t>
      </w:r>
      <w:r w:rsidRPr="006718F1">
        <w:rPr>
          <w:rFonts w:eastAsia="Calibri"/>
          <w:i/>
        </w:rPr>
        <w:t>has</w:t>
      </w:r>
      <w:r w:rsidRPr="006718F1">
        <w:rPr>
          <w:rFonts w:eastAsia="Calibri"/>
        </w:rPr>
        <w:t xml:space="preserve"> been political instability but the programme has shown that it – through UNDPs good connections with the government, the cabinet of </w:t>
      </w:r>
      <w:r w:rsidR="00DF3573" w:rsidRPr="006718F1">
        <w:rPr>
          <w:rFonts w:eastAsia="Calibri"/>
        </w:rPr>
        <w:t>ministers, Verkhovna</w:t>
      </w:r>
      <w:r w:rsidRPr="006718F1">
        <w:rPr>
          <w:rFonts w:eastAsia="Calibri"/>
        </w:rPr>
        <w:t xml:space="preserve"> Rada and the political parties </w:t>
      </w:r>
      <w:r w:rsidR="00F12C15">
        <w:rPr>
          <w:rFonts w:eastAsia="Calibri"/>
        </w:rPr>
        <w:t xml:space="preserve">– has been able to </w:t>
      </w:r>
      <w:r w:rsidRPr="006718F1">
        <w:rPr>
          <w:rFonts w:eastAsia="Calibri"/>
        </w:rPr>
        <w:t xml:space="preserve">manoeuvre through difficulties. </w:t>
      </w:r>
    </w:p>
    <w:p w14:paraId="7591A4F8" w14:textId="77777777" w:rsidR="00C42D11" w:rsidRDefault="00C42D11" w:rsidP="00DB2EF0">
      <w:pPr>
        <w:rPr>
          <w:rFonts w:eastAsia="Calibri"/>
          <w:i/>
        </w:rPr>
      </w:pPr>
    </w:p>
    <w:p w14:paraId="7591A4F9" w14:textId="77777777" w:rsidR="00C9255D" w:rsidRPr="006718F1" w:rsidRDefault="00C9255D" w:rsidP="00DB2EF0">
      <w:r w:rsidRPr="006718F1">
        <w:rPr>
          <w:rFonts w:eastAsia="Calibri"/>
          <w:i/>
        </w:rPr>
        <w:t>Difficult procedure of amending the legislation and regulations</w:t>
      </w:r>
      <w:r w:rsidRPr="006718F1">
        <w:rPr>
          <w:rFonts w:eastAsia="Calibri"/>
        </w:rPr>
        <w:t xml:space="preserve">. The </w:t>
      </w:r>
      <w:r w:rsidR="00F12C15">
        <w:rPr>
          <w:rFonts w:eastAsia="Calibri"/>
        </w:rPr>
        <w:t xml:space="preserve">CSDP </w:t>
      </w:r>
      <w:r w:rsidRPr="006718F1">
        <w:rPr>
          <w:rFonts w:eastAsia="Calibri"/>
        </w:rPr>
        <w:t>has also been able to overcome this risk due to its good contacts in government circles etc.</w:t>
      </w:r>
    </w:p>
    <w:p w14:paraId="7591A4FA" w14:textId="77777777" w:rsidR="00C42D11" w:rsidRDefault="00C42D11" w:rsidP="00DB2EF0">
      <w:pPr>
        <w:rPr>
          <w:rFonts w:eastAsia="Calibri"/>
          <w:i/>
        </w:rPr>
      </w:pPr>
    </w:p>
    <w:p w14:paraId="7591A4FB" w14:textId="77777777" w:rsidR="00C9255D" w:rsidRPr="006718F1" w:rsidRDefault="00C9255D" w:rsidP="00DB2EF0">
      <w:pPr>
        <w:rPr>
          <w:rFonts w:eastAsia="Calibri"/>
        </w:rPr>
      </w:pPr>
      <w:r w:rsidRPr="006718F1">
        <w:rPr>
          <w:rFonts w:eastAsia="Calibri"/>
          <w:i/>
        </w:rPr>
        <w:t>Local NGOs face a lack of capacity and resources to successfully implement their projects</w:t>
      </w:r>
      <w:r w:rsidRPr="006718F1">
        <w:rPr>
          <w:rFonts w:eastAsia="Calibri"/>
        </w:rPr>
        <w:t>. The review observed that it is only some of the CSO</w:t>
      </w:r>
      <w:r w:rsidR="00F12C15">
        <w:rPr>
          <w:rFonts w:eastAsia="Calibri"/>
        </w:rPr>
        <w:t>s</w:t>
      </w:r>
      <w:r w:rsidRPr="006718F1">
        <w:rPr>
          <w:rFonts w:eastAsia="Calibri"/>
        </w:rPr>
        <w:t xml:space="preserve"> who lack this capacity. The capacity question has been addressed by the </w:t>
      </w:r>
      <w:r w:rsidR="00F12C15">
        <w:rPr>
          <w:rFonts w:eastAsia="Calibri"/>
        </w:rPr>
        <w:t>p</w:t>
      </w:r>
      <w:r w:rsidRPr="006718F1">
        <w:rPr>
          <w:rFonts w:eastAsia="Calibri"/>
        </w:rPr>
        <w:t>rogramme, but</w:t>
      </w:r>
      <w:r w:rsidR="00F12C15">
        <w:rPr>
          <w:rFonts w:eastAsia="Calibri"/>
        </w:rPr>
        <w:t xml:space="preserve"> </w:t>
      </w:r>
      <w:r w:rsidRPr="006718F1">
        <w:rPr>
          <w:rFonts w:eastAsia="Calibri"/>
        </w:rPr>
        <w:t>more can be done.</w:t>
      </w:r>
    </w:p>
    <w:p w14:paraId="7591A4FC" w14:textId="77777777" w:rsidR="00C42D11" w:rsidRDefault="00C42D11" w:rsidP="00DB2EF0">
      <w:pPr>
        <w:rPr>
          <w:rFonts w:eastAsia="Calibri"/>
          <w:i/>
        </w:rPr>
      </w:pPr>
    </w:p>
    <w:p w14:paraId="7591A4FD" w14:textId="77777777" w:rsidR="00C9255D" w:rsidRDefault="00C9255D" w:rsidP="00DB2EF0">
      <w:pPr>
        <w:rPr>
          <w:rFonts w:eastAsia="Calibri"/>
        </w:rPr>
      </w:pPr>
      <w:r w:rsidRPr="006718F1">
        <w:rPr>
          <w:rFonts w:eastAsia="Calibri"/>
          <w:i/>
        </w:rPr>
        <w:t>Lack of cooperation between local CSOs and local governments</w:t>
      </w:r>
      <w:r w:rsidRPr="006718F1">
        <w:rPr>
          <w:rFonts w:eastAsia="Calibri"/>
        </w:rPr>
        <w:t>: It appears that the funding itself</w:t>
      </w:r>
      <w:r w:rsidR="00F12C15">
        <w:rPr>
          <w:rFonts w:eastAsia="Calibri"/>
        </w:rPr>
        <w:t xml:space="preserve"> and </w:t>
      </w:r>
      <w:r w:rsidRPr="006718F1">
        <w:rPr>
          <w:rFonts w:eastAsia="Calibri"/>
        </w:rPr>
        <w:t>the fact tha</w:t>
      </w:r>
      <w:r w:rsidR="00F12C15">
        <w:rPr>
          <w:rFonts w:eastAsia="Calibri"/>
        </w:rPr>
        <w:t>t</w:t>
      </w:r>
      <w:r w:rsidRPr="006718F1">
        <w:rPr>
          <w:rFonts w:eastAsia="Calibri"/>
        </w:rPr>
        <w:t xml:space="preserve"> many local CSOs also are engaged in service delivery and engagements of local administrators in regional events has improved the relation between the CSOs and local governments.</w:t>
      </w:r>
    </w:p>
    <w:p w14:paraId="7591A4FE" w14:textId="77777777" w:rsidR="00006D72" w:rsidRDefault="00006D72" w:rsidP="00DB2EF0">
      <w:pPr>
        <w:rPr>
          <w:rFonts w:eastAsia="Calibri"/>
        </w:rPr>
      </w:pPr>
    </w:p>
    <w:p w14:paraId="7591A4FF" w14:textId="77777777" w:rsidR="005A152F" w:rsidRPr="00C42D11" w:rsidRDefault="00C42D11" w:rsidP="00DB2EF0">
      <w:pPr>
        <w:rPr>
          <w:rFonts w:eastAsia="Calibri"/>
          <w:b/>
          <w:sz w:val="28"/>
          <w:szCs w:val="28"/>
        </w:rPr>
      </w:pPr>
      <w:r>
        <w:rPr>
          <w:rFonts w:eastAsia="Calibri"/>
          <w:b/>
          <w:sz w:val="28"/>
          <w:szCs w:val="28"/>
        </w:rPr>
        <w:t xml:space="preserve">9. </w:t>
      </w:r>
      <w:r w:rsidR="005A152F" w:rsidRPr="00C42D11">
        <w:rPr>
          <w:rFonts w:eastAsia="Calibri"/>
          <w:b/>
          <w:sz w:val="28"/>
          <w:szCs w:val="28"/>
        </w:rPr>
        <w:t xml:space="preserve">Strategic and aid effectiveness </w:t>
      </w:r>
      <w:r w:rsidR="00F12C15">
        <w:rPr>
          <w:rFonts w:eastAsia="Calibri"/>
          <w:b/>
          <w:sz w:val="28"/>
          <w:szCs w:val="28"/>
        </w:rPr>
        <w:t>c</w:t>
      </w:r>
      <w:r w:rsidR="0080387F" w:rsidRPr="00C42D11">
        <w:rPr>
          <w:rFonts w:eastAsia="Calibri"/>
          <w:b/>
          <w:sz w:val="28"/>
          <w:szCs w:val="28"/>
        </w:rPr>
        <w:t xml:space="preserve">onsiderations </w:t>
      </w:r>
    </w:p>
    <w:p w14:paraId="7591A500" w14:textId="77777777" w:rsidR="00C42D11" w:rsidRDefault="00C42D11" w:rsidP="00A30719"/>
    <w:p w14:paraId="7591A501" w14:textId="77777777" w:rsidR="00A30719" w:rsidRPr="006718F1" w:rsidRDefault="00DF3573" w:rsidP="00A30719">
      <w:r>
        <w:t xml:space="preserve">This chapter complements chapter </w:t>
      </w:r>
      <w:r w:rsidR="00CD6BDC">
        <w:t>4</w:t>
      </w:r>
      <w:r w:rsidR="00F12C15">
        <w:t>’s</w:t>
      </w:r>
      <w:r w:rsidR="00CD6BDC">
        <w:t xml:space="preserve"> </w:t>
      </w:r>
      <w:r w:rsidR="00A30719">
        <w:t>review</w:t>
      </w:r>
      <w:r w:rsidR="00CD6BDC">
        <w:t>ing</w:t>
      </w:r>
      <w:r w:rsidR="00A30719">
        <w:t xml:space="preserve"> of CSDP’s approach and achievements in relation to </w:t>
      </w:r>
      <w:r w:rsidR="00A30719" w:rsidRPr="006718F1">
        <w:t>service delivery, capacity development and advocacy</w:t>
      </w:r>
      <w:r w:rsidR="00CD6BDC">
        <w:t xml:space="preserve">. It </w:t>
      </w:r>
      <w:r w:rsidR="00277942">
        <w:t xml:space="preserve">presents some possibilities which the </w:t>
      </w:r>
      <w:r w:rsidR="00277942">
        <w:lastRenderedPageBreak/>
        <w:t xml:space="preserve">programme have in relation to </w:t>
      </w:r>
      <w:r w:rsidR="00A30719" w:rsidRPr="006718F1">
        <w:t>Danida’s Strategy for Support to Civil Society</w:t>
      </w:r>
      <w:r w:rsidR="006D6D94">
        <w:t xml:space="preserve"> (2008)</w:t>
      </w:r>
      <w:r w:rsidR="00A30719" w:rsidRPr="006718F1">
        <w:t xml:space="preserve"> </w:t>
      </w:r>
      <w:r w:rsidR="00277942">
        <w:t xml:space="preserve">and the </w:t>
      </w:r>
      <w:r w:rsidR="00F12C15">
        <w:t>A</w:t>
      </w:r>
      <w:r w:rsidR="00277942">
        <w:t xml:space="preserve">id </w:t>
      </w:r>
      <w:r w:rsidR="00F12C15">
        <w:t>E</w:t>
      </w:r>
      <w:r w:rsidR="00277942">
        <w:t xml:space="preserve">ffectiveness </w:t>
      </w:r>
      <w:r w:rsidR="00F12C15">
        <w:t>A</w:t>
      </w:r>
      <w:r w:rsidR="00277942">
        <w:t>genda. These consideration</w:t>
      </w:r>
      <w:r w:rsidR="004A633E">
        <w:t>s</w:t>
      </w:r>
      <w:r w:rsidR="00277942">
        <w:t xml:space="preserve"> do not refer to requirements in the programme documents.</w:t>
      </w:r>
      <w:r w:rsidR="00A30719">
        <w:t xml:space="preserve"> </w:t>
      </w:r>
    </w:p>
    <w:p w14:paraId="7591A502" w14:textId="77777777" w:rsidR="002742CE" w:rsidRDefault="002742CE" w:rsidP="00DB2EF0">
      <w:pPr>
        <w:rPr>
          <w:rFonts w:eastAsia="Calibri"/>
          <w:b/>
        </w:rPr>
      </w:pPr>
    </w:p>
    <w:p w14:paraId="7591A503" w14:textId="77777777" w:rsidR="00006D72" w:rsidRDefault="00006D72" w:rsidP="00006D72">
      <w:r w:rsidRPr="006718F1">
        <w:t xml:space="preserve">Sida has during the recent years undertaken a number of external in-depth </w:t>
      </w:r>
      <w:r w:rsidRPr="00F14BEE">
        <w:rPr>
          <w:b/>
          <w:i/>
        </w:rPr>
        <w:t>organisational assessments</w:t>
      </w:r>
      <w:r w:rsidRPr="006718F1">
        <w:t xml:space="preserve">, which has led </w:t>
      </w:r>
      <w:r>
        <w:t xml:space="preserve">to </w:t>
      </w:r>
      <w:r w:rsidRPr="006718F1">
        <w:t>the conclusion that the organisations are not likely to fix the shortcomings on their own. Systemic changes require experience and practice</w:t>
      </w:r>
      <w:r>
        <w:t>s</w:t>
      </w:r>
      <w:r w:rsidRPr="006718F1">
        <w:t xml:space="preserve"> often not found in Ukraine. Among issues are the need to understand the difference between governance and management, to develop internal policies, to make practical change management steps in an organisation and tackle sensitive issues as the leadership</w:t>
      </w:r>
      <w:r>
        <w:t xml:space="preserve">. </w:t>
      </w:r>
      <w:r w:rsidRPr="006718F1">
        <w:t>According to Sida, further development of CSOs may require process facilitation, coaching, mentoring etc. on a set of organisational development issues.</w:t>
      </w:r>
    </w:p>
    <w:p w14:paraId="7591A504" w14:textId="77777777" w:rsidR="00006D72" w:rsidRDefault="00006D72" w:rsidP="00DB2EF0"/>
    <w:p w14:paraId="7591A505" w14:textId="77777777" w:rsidR="00006D72" w:rsidRDefault="00F14BEE" w:rsidP="00006D72">
      <w:r>
        <w:t>I</w:t>
      </w:r>
      <w:r w:rsidR="004A633E" w:rsidRPr="006718F1">
        <w:t xml:space="preserve">t is likely that </w:t>
      </w:r>
      <w:r w:rsidR="004A633E" w:rsidRPr="00F14BEE">
        <w:rPr>
          <w:b/>
          <w:i/>
        </w:rPr>
        <w:t>decreased funding</w:t>
      </w:r>
      <w:r w:rsidR="004A633E" w:rsidRPr="006718F1">
        <w:t xml:space="preserve"> can be foreseen within some years from the bilateral agencies. Consequently, it would be good to address </w:t>
      </w:r>
      <w:r w:rsidR="00006D72" w:rsidRPr="006718F1">
        <w:t xml:space="preserve">replicability mechanisms, up-scaling efforts, sustainability criteria and exit strategies. </w:t>
      </w:r>
    </w:p>
    <w:p w14:paraId="7591A506" w14:textId="77777777" w:rsidR="004A633E" w:rsidRPr="00F14BEE" w:rsidRDefault="004A633E" w:rsidP="00006D72">
      <w:pPr>
        <w:rPr>
          <w:i/>
        </w:rPr>
      </w:pPr>
    </w:p>
    <w:p w14:paraId="7591A507" w14:textId="77777777" w:rsidR="00C41611" w:rsidRDefault="004F6C46" w:rsidP="004F6C46">
      <w:r w:rsidRPr="00F14BEE">
        <w:rPr>
          <w:b/>
          <w:i/>
        </w:rPr>
        <w:t>Constituency</w:t>
      </w:r>
      <w:r w:rsidRPr="006718F1">
        <w:t xml:space="preserve"> and ‘good governance’ are by the </w:t>
      </w:r>
      <w:r w:rsidR="00482ED8">
        <w:t>r</w:t>
      </w:r>
      <w:r w:rsidRPr="006718F1">
        <w:t xml:space="preserve">eview </w:t>
      </w:r>
      <w:r w:rsidR="00482ED8">
        <w:t>t</w:t>
      </w:r>
      <w:r w:rsidRPr="006718F1">
        <w:t>eam seen as important elements in future organisational sustainability of CSOs. If CSOs are to hold state institutions accountable it is</w:t>
      </w:r>
      <w:r w:rsidR="00482ED8">
        <w:t xml:space="preserve"> also</w:t>
      </w:r>
      <w:r w:rsidRPr="006718F1">
        <w:t xml:space="preserve"> important that they themselves are seen as legitimate, transparent and accountable</w:t>
      </w:r>
      <w:r w:rsidR="00482ED8">
        <w:t>.</w:t>
      </w:r>
      <w:r w:rsidRPr="006718F1">
        <w:t xml:space="preserve"> </w:t>
      </w:r>
      <w:r w:rsidR="00C41611">
        <w:t>In a possible future programme more attention shall be paid to stren</w:t>
      </w:r>
      <w:r w:rsidR="00C41611" w:rsidRPr="00C41611">
        <w:t>gthened governance principles within the supported CSOs internal democracy, accountab</w:t>
      </w:r>
      <w:r w:rsidR="00C41611">
        <w:t xml:space="preserve">ility </w:t>
      </w:r>
      <w:r w:rsidR="00C41611" w:rsidRPr="00C41611">
        <w:t>and transparent decision</w:t>
      </w:r>
      <w:r w:rsidR="00C41611">
        <w:t>-</w:t>
      </w:r>
      <w:r w:rsidR="00C41611" w:rsidRPr="00C41611">
        <w:t xml:space="preserve">making. </w:t>
      </w:r>
      <w:r w:rsidR="00C41611">
        <w:t xml:space="preserve">Attention can thus be </w:t>
      </w:r>
      <w:r w:rsidR="00C41611" w:rsidRPr="00C41611">
        <w:t>paid to managing member-based organisations, handling constituency, voluntarism and volunteer policy, NGO governance principles with Assembly, Board and staff, conflict of interest/procurement and procurement.</w:t>
      </w:r>
    </w:p>
    <w:p w14:paraId="7591A508" w14:textId="77777777" w:rsidR="00252B3C" w:rsidRDefault="00252B3C" w:rsidP="004F6C46"/>
    <w:p w14:paraId="7591A509" w14:textId="77777777" w:rsidR="004F6C46" w:rsidRPr="006718F1" w:rsidRDefault="004F6C46" w:rsidP="004F6C46">
      <w:r w:rsidRPr="006718F1">
        <w:t>The progress reports contain</w:t>
      </w:r>
      <w:r w:rsidR="004A633E">
        <w:t xml:space="preserve"> no</w:t>
      </w:r>
      <w:r w:rsidRPr="006718F1">
        <w:t xml:space="preserve"> reference</w:t>
      </w:r>
      <w:r w:rsidR="004A633E">
        <w:t>s</w:t>
      </w:r>
      <w:r w:rsidRPr="006718F1">
        <w:t xml:space="preserve"> to the </w:t>
      </w:r>
      <w:r w:rsidRPr="00F14BEE">
        <w:rPr>
          <w:b/>
        </w:rPr>
        <w:t>aid effectiveness agenda</w:t>
      </w:r>
      <w:r w:rsidRPr="006718F1">
        <w:t xml:space="preserve">. It is the </w:t>
      </w:r>
      <w:r w:rsidR="004A633E">
        <w:t>team</w:t>
      </w:r>
      <w:r w:rsidR="00482ED8">
        <w:t>’</w:t>
      </w:r>
      <w:r w:rsidR="004A633E">
        <w:t>s</w:t>
      </w:r>
      <w:r w:rsidRPr="006718F1">
        <w:t xml:space="preserve"> impression that the Paris principles on ownership, alignment, harmonization</w:t>
      </w:r>
      <w:r w:rsidR="00482ED8">
        <w:t xml:space="preserve"> and</w:t>
      </w:r>
      <w:r w:rsidRPr="006718F1">
        <w:t xml:space="preserve"> accountability </w:t>
      </w:r>
      <w:r w:rsidR="004A633E">
        <w:t>ha</w:t>
      </w:r>
      <w:r w:rsidR="00482ED8">
        <w:t>ve</w:t>
      </w:r>
      <w:r w:rsidR="004A633E">
        <w:t xml:space="preserve"> not had high priority </w:t>
      </w:r>
      <w:r w:rsidRPr="006718F1">
        <w:t xml:space="preserve">during the implementation. </w:t>
      </w:r>
      <w:r w:rsidR="004A633E">
        <w:t>In applications</w:t>
      </w:r>
      <w:r w:rsidR="00123DC6">
        <w:t>,</w:t>
      </w:r>
      <w:r w:rsidR="004A633E">
        <w:t xml:space="preserve"> C</w:t>
      </w:r>
      <w:r w:rsidRPr="006718F1">
        <w:t>SOs</w:t>
      </w:r>
      <w:r w:rsidR="004A633E">
        <w:t xml:space="preserve"> </w:t>
      </w:r>
      <w:r w:rsidR="00B0673A">
        <w:t xml:space="preserve">could be obliged to </w:t>
      </w:r>
      <w:r w:rsidRPr="006718F1">
        <w:t>refer to their strategic plan (if they have one)</w:t>
      </w:r>
      <w:r w:rsidR="00B0673A">
        <w:t xml:space="preserve">. The projects should </w:t>
      </w:r>
      <w:r w:rsidRPr="006718F1">
        <w:t>take the CSO</w:t>
      </w:r>
      <w:r w:rsidR="00123DC6">
        <w:t>’s</w:t>
      </w:r>
      <w:r w:rsidRPr="006718F1">
        <w:t xml:space="preserve"> own planning, monitoring and results measurement system into consideration. The project documents and reporting </w:t>
      </w:r>
      <w:r w:rsidR="00B0673A">
        <w:t xml:space="preserve">should not only be </w:t>
      </w:r>
      <w:r w:rsidRPr="006718F1">
        <w:t>made for the donor</w:t>
      </w:r>
      <w:r w:rsidR="00B0673A">
        <w:t xml:space="preserve"> (</w:t>
      </w:r>
      <w:r w:rsidRPr="006718F1">
        <w:t>upward accountability</w:t>
      </w:r>
      <w:r w:rsidR="00B0673A">
        <w:t>)</w:t>
      </w:r>
      <w:r w:rsidR="00123DC6">
        <w:t>,</w:t>
      </w:r>
      <w:r w:rsidR="00B0673A">
        <w:t xml:space="preserve"> but also </w:t>
      </w:r>
      <w:r w:rsidRPr="006718F1">
        <w:t>to the</w:t>
      </w:r>
      <w:r w:rsidR="00B0673A">
        <w:t xml:space="preserve"> CSOs </w:t>
      </w:r>
      <w:r w:rsidRPr="006718F1">
        <w:t>own governance structure and constituenc</w:t>
      </w:r>
      <w:r w:rsidR="00B0673A">
        <w:t>y</w:t>
      </w:r>
      <w:r w:rsidRPr="006718F1">
        <w:t>.</w:t>
      </w:r>
    </w:p>
    <w:p w14:paraId="7591A50A" w14:textId="77777777" w:rsidR="004F6C46" w:rsidRPr="006718F1" w:rsidRDefault="004F6C46" w:rsidP="004F6C46"/>
    <w:p w14:paraId="7591A50B" w14:textId="77777777" w:rsidR="004F6C46" w:rsidRPr="006718F1" w:rsidRDefault="00B0673A" w:rsidP="004F6C46">
      <w:r w:rsidRPr="00F14BEE">
        <w:rPr>
          <w:b/>
          <w:i/>
        </w:rPr>
        <w:t>Partnerships</w:t>
      </w:r>
      <w:r>
        <w:t xml:space="preserve"> have existed for some time</w:t>
      </w:r>
      <w:r w:rsidR="004F6C46" w:rsidRPr="006718F1">
        <w:t>. In Lviv</w:t>
      </w:r>
      <w:r w:rsidR="00123DC6">
        <w:t>,</w:t>
      </w:r>
      <w:r w:rsidR="004F6E1E">
        <w:t xml:space="preserve"> the t</w:t>
      </w:r>
      <w:r w:rsidR="004F6C46" w:rsidRPr="006718F1">
        <w:t>eam was told that some CSOs have worked with CCC since the nineties. They highlighted advis</w:t>
      </w:r>
      <w:r w:rsidR="00123DC6">
        <w:t>es</w:t>
      </w:r>
      <w:r w:rsidR="004F6C46" w:rsidRPr="006718F1">
        <w:t xml:space="preserve"> and training they have received during these years for strategic planning, advocacy, financial management</w:t>
      </w:r>
      <w:r w:rsidR="00123DC6">
        <w:t xml:space="preserve"> and</w:t>
      </w:r>
      <w:r w:rsidR="004F6C46" w:rsidRPr="006718F1">
        <w:t xml:space="preserve"> account system among other issues.</w:t>
      </w:r>
      <w:r>
        <w:t xml:space="preserve"> The team was informed by both </w:t>
      </w:r>
      <w:r w:rsidR="00123DC6">
        <w:t>IPs</w:t>
      </w:r>
      <w:r>
        <w:t xml:space="preserve"> </w:t>
      </w:r>
      <w:r w:rsidRPr="006718F1">
        <w:t xml:space="preserve">(CCC and ISAR) </w:t>
      </w:r>
      <w:r>
        <w:t xml:space="preserve">that they </w:t>
      </w:r>
      <w:r w:rsidRPr="006718F1">
        <w:t>intend to work in partnership with the CSOs</w:t>
      </w:r>
    </w:p>
    <w:p w14:paraId="7591A50C" w14:textId="77777777" w:rsidR="00C42D11" w:rsidRDefault="00C42D11" w:rsidP="004F6C46"/>
    <w:p w14:paraId="7591A50D" w14:textId="77777777" w:rsidR="004F6C46" w:rsidRPr="006718F1" w:rsidRDefault="004F6C46" w:rsidP="004F6C46">
      <w:r w:rsidRPr="006718F1">
        <w:t>Such partnership approach</w:t>
      </w:r>
      <w:r w:rsidR="00123DC6">
        <w:t>es</w:t>
      </w:r>
      <w:r w:rsidRPr="006718F1">
        <w:t xml:space="preserve"> requires </w:t>
      </w:r>
      <w:r w:rsidRPr="0082507D">
        <w:rPr>
          <w:b/>
          <w:i/>
        </w:rPr>
        <w:t>continuity and predictability</w:t>
      </w:r>
      <w:r w:rsidRPr="006718F1">
        <w:t xml:space="preserve">, which often increases the “added value” of the implementing NGO partners. This </w:t>
      </w:r>
      <w:r w:rsidR="00B0673A">
        <w:t xml:space="preserve">can be </w:t>
      </w:r>
      <w:r w:rsidRPr="006718F1">
        <w:t xml:space="preserve">contradictory to intensive tender procedures </w:t>
      </w:r>
      <w:r w:rsidR="00B0673A">
        <w:t xml:space="preserve">and </w:t>
      </w:r>
      <w:r w:rsidRPr="006718F1">
        <w:t>short project periods</w:t>
      </w:r>
      <w:r w:rsidR="0082507D">
        <w:t>.</w:t>
      </w:r>
    </w:p>
    <w:p w14:paraId="7591A50E" w14:textId="77777777" w:rsidR="004F6C46" w:rsidRPr="006718F1" w:rsidRDefault="004F6C46" w:rsidP="004F6C46"/>
    <w:p w14:paraId="7591A50F" w14:textId="77777777" w:rsidR="004F6C46" w:rsidRDefault="00F14BEE" w:rsidP="004F6C46">
      <w:r>
        <w:t>M</w:t>
      </w:r>
      <w:r w:rsidR="00C1379B">
        <w:t xml:space="preserve">ost CSOs had multiple donors, each with </w:t>
      </w:r>
      <w:r w:rsidR="004F6C46" w:rsidRPr="006718F1">
        <w:t xml:space="preserve">different requirements, formats etc. from the various donors. It seems that few examples can be found in Ukraine of </w:t>
      </w:r>
      <w:r w:rsidR="004F6C46" w:rsidRPr="00F14BEE">
        <w:rPr>
          <w:b/>
          <w:i/>
        </w:rPr>
        <w:t>core-funding</w:t>
      </w:r>
      <w:r w:rsidR="004F6C46" w:rsidRPr="006718F1">
        <w:t xml:space="preserve"> based on alignment to the partners’ strategic plans, relying on its partners’ governance structures, annual work plans and reports to their own annual assembly or board. </w:t>
      </w:r>
    </w:p>
    <w:p w14:paraId="7591A510" w14:textId="77777777" w:rsidR="006D6D94" w:rsidRDefault="006D6D94" w:rsidP="004F6C46"/>
    <w:p w14:paraId="7591A511" w14:textId="77777777" w:rsidR="006D6D94" w:rsidRPr="006718F1" w:rsidRDefault="006D6D94" w:rsidP="004F6C46">
      <w:r w:rsidRPr="006D6D94">
        <w:lastRenderedPageBreak/>
        <w:t>The relatively weak coalition-building and networking at national and international levels in Ukraine has been mentioned. Examples with stronger linkages could be collaboration with national CSO networks influencing national legislation/strategies, it could be anchors to international conventions and fora, local case stories to a national shadow report to the UN Universal Periodic Review (UPR), etc.</w:t>
      </w:r>
    </w:p>
    <w:p w14:paraId="7591A512" w14:textId="77777777" w:rsidR="004F6C46" w:rsidRPr="006718F1" w:rsidRDefault="004F6C46" w:rsidP="004F6C46"/>
    <w:p w14:paraId="7591A513" w14:textId="77777777" w:rsidR="00006D72" w:rsidRDefault="00F14BEE" w:rsidP="00DB2EF0">
      <w:r>
        <w:t>In the future</w:t>
      </w:r>
      <w:r w:rsidR="00123DC6">
        <w:t>,</w:t>
      </w:r>
      <w:r>
        <w:t xml:space="preserve"> </w:t>
      </w:r>
      <w:r w:rsidR="004F6C46" w:rsidRPr="006718F1">
        <w:t xml:space="preserve">CSO applicants </w:t>
      </w:r>
      <w:r>
        <w:t xml:space="preserve">may be </w:t>
      </w:r>
      <w:r w:rsidR="004F6C46" w:rsidRPr="006718F1">
        <w:t xml:space="preserve">requested to propose ways of </w:t>
      </w:r>
      <w:r w:rsidR="004F6C46" w:rsidRPr="00F14BEE">
        <w:rPr>
          <w:b/>
          <w:i/>
        </w:rPr>
        <w:t>strengthen</w:t>
      </w:r>
      <w:r w:rsidR="00123DC6">
        <w:rPr>
          <w:b/>
          <w:i/>
        </w:rPr>
        <w:t>ing</w:t>
      </w:r>
      <w:r w:rsidR="004F6C46" w:rsidRPr="00F14BEE">
        <w:rPr>
          <w:b/>
          <w:i/>
        </w:rPr>
        <w:t xml:space="preserve"> their linkages</w:t>
      </w:r>
      <w:r w:rsidR="004F6C46" w:rsidRPr="006718F1">
        <w:t xml:space="preserve">, </w:t>
      </w:r>
      <w:r>
        <w:t xml:space="preserve">both </w:t>
      </w:r>
      <w:r w:rsidR="004F6C46" w:rsidRPr="006718F1">
        <w:t xml:space="preserve">to national (and international) advocacy, </w:t>
      </w:r>
      <w:r>
        <w:t xml:space="preserve">and </w:t>
      </w:r>
      <w:r w:rsidR="004F6C46" w:rsidRPr="006718F1">
        <w:t xml:space="preserve">to exchange of technical knowledge and practices among organisations working within the same subject. </w:t>
      </w:r>
    </w:p>
    <w:p w14:paraId="7591A514" w14:textId="77777777" w:rsidR="004C693F" w:rsidRDefault="004C693F" w:rsidP="00DB2EF0">
      <w:pPr>
        <w:rPr>
          <w:rFonts w:eastAsia="Calibri"/>
        </w:rPr>
      </w:pPr>
    </w:p>
    <w:p w14:paraId="7591A515" w14:textId="77777777" w:rsidR="00B721C9" w:rsidRDefault="00B721C9" w:rsidP="00DB2EF0">
      <w:pPr>
        <w:rPr>
          <w:rFonts w:eastAsia="Calibri"/>
        </w:rPr>
      </w:pPr>
    </w:p>
    <w:p w14:paraId="7591A516" w14:textId="77777777" w:rsidR="00C42D11" w:rsidRPr="002A6FB8" w:rsidRDefault="00C42D11" w:rsidP="00C42D11">
      <w:pPr>
        <w:rPr>
          <w:b/>
          <w:sz w:val="28"/>
          <w:szCs w:val="28"/>
        </w:rPr>
      </w:pPr>
      <w:r w:rsidRPr="002A6FB8">
        <w:rPr>
          <w:b/>
          <w:sz w:val="28"/>
          <w:szCs w:val="28"/>
        </w:rPr>
        <w:t>1</w:t>
      </w:r>
      <w:r>
        <w:rPr>
          <w:b/>
          <w:sz w:val="28"/>
          <w:szCs w:val="28"/>
        </w:rPr>
        <w:t>0</w:t>
      </w:r>
      <w:r w:rsidRPr="002A6FB8">
        <w:rPr>
          <w:b/>
          <w:sz w:val="28"/>
          <w:szCs w:val="28"/>
        </w:rPr>
        <w:t xml:space="preserve">. Considerations on future </w:t>
      </w:r>
      <w:r w:rsidR="00123DC6">
        <w:rPr>
          <w:b/>
          <w:sz w:val="28"/>
          <w:szCs w:val="28"/>
        </w:rPr>
        <w:t>s</w:t>
      </w:r>
      <w:r w:rsidRPr="002A6FB8">
        <w:rPr>
          <w:b/>
          <w:sz w:val="28"/>
          <w:szCs w:val="28"/>
        </w:rPr>
        <w:t>upport</w:t>
      </w:r>
    </w:p>
    <w:p w14:paraId="7591A517" w14:textId="77777777" w:rsidR="00C42D11" w:rsidRDefault="00C42D11" w:rsidP="00C42D11"/>
    <w:p w14:paraId="7591A518" w14:textId="77777777" w:rsidR="00C42D11" w:rsidRPr="0006532F" w:rsidRDefault="00C42D11" w:rsidP="00C42D11">
      <w:pPr>
        <w:rPr>
          <w:b/>
        </w:rPr>
      </w:pPr>
      <w:r w:rsidRPr="0006532F">
        <w:t xml:space="preserve">The present phase of the CSDP is ending </w:t>
      </w:r>
      <w:r>
        <w:t xml:space="preserve">in </w:t>
      </w:r>
      <w:r w:rsidRPr="0006532F">
        <w:t xml:space="preserve">June 2012. The </w:t>
      </w:r>
      <w:r w:rsidR="004F6E1E">
        <w:t>t</w:t>
      </w:r>
      <w:r w:rsidRPr="0006532F">
        <w:t>eam will therefore devote a little space in the review on the future</w:t>
      </w:r>
      <w:r>
        <w:t xml:space="preserve">, which could contribute to the </w:t>
      </w:r>
      <w:r w:rsidRPr="0006532F">
        <w:t xml:space="preserve">discussion between UNDP and the Neighbourhood </w:t>
      </w:r>
      <w:r w:rsidR="00123DC6">
        <w:t>P</w:t>
      </w:r>
      <w:r w:rsidRPr="0006532F">
        <w:t>rogramme on what will happen after June 2012</w:t>
      </w:r>
      <w:r w:rsidRPr="0006532F">
        <w:rPr>
          <w:b/>
        </w:rPr>
        <w:t xml:space="preserve">. It is emphasised that the </w:t>
      </w:r>
      <w:r>
        <w:rPr>
          <w:b/>
        </w:rPr>
        <w:t xml:space="preserve">review team is </w:t>
      </w:r>
      <w:r w:rsidRPr="0006532F">
        <w:rPr>
          <w:b/>
        </w:rPr>
        <w:t>solely responsib</w:t>
      </w:r>
      <w:r>
        <w:rPr>
          <w:b/>
        </w:rPr>
        <w:t>le for these considerations.</w:t>
      </w:r>
    </w:p>
    <w:p w14:paraId="7591A519" w14:textId="77777777" w:rsidR="00C42D11" w:rsidRDefault="00C42D11" w:rsidP="00C42D11"/>
    <w:p w14:paraId="7591A51A" w14:textId="77777777" w:rsidR="00C42D11" w:rsidRPr="0006532F" w:rsidRDefault="00C42D11" w:rsidP="00C42D11">
      <w:r w:rsidRPr="0006532F">
        <w:t xml:space="preserve">The following thoughts come out of the generally positive findings in the review and from a </w:t>
      </w:r>
      <w:r w:rsidR="00123DC6">
        <w:t>conclusion</w:t>
      </w:r>
      <w:r w:rsidRPr="0006532F">
        <w:t xml:space="preserve"> that a support like the CSDP </w:t>
      </w:r>
      <w:r>
        <w:t xml:space="preserve">programme is relevant and </w:t>
      </w:r>
      <w:r w:rsidRPr="0006532F">
        <w:t xml:space="preserve">will be needed </w:t>
      </w:r>
      <w:r>
        <w:t>in Ukraine for some years to come.</w:t>
      </w:r>
    </w:p>
    <w:p w14:paraId="7591A51B" w14:textId="77777777" w:rsidR="00123DC6" w:rsidRPr="00123DC6" w:rsidRDefault="00C42D11" w:rsidP="00C42D11">
      <w:pPr>
        <w:widowControl/>
        <w:numPr>
          <w:ilvl w:val="0"/>
          <w:numId w:val="14"/>
        </w:numPr>
        <w:ind w:left="360"/>
        <w:rPr>
          <w:color w:val="000000"/>
        </w:rPr>
      </w:pPr>
      <w:r w:rsidRPr="00123DC6">
        <w:rPr>
          <w:i/>
        </w:rPr>
        <w:t>Trends in the development of civil society and in the overall response to civil society in Ukraine</w:t>
      </w:r>
      <w:r w:rsidR="00D977B5">
        <w:rPr>
          <w:i/>
        </w:rPr>
        <w:t>:</w:t>
      </w:r>
      <w:r w:rsidRPr="0006532F">
        <w:t xml:space="preserve"> </w:t>
      </w:r>
    </w:p>
    <w:p w14:paraId="7591A51C" w14:textId="77777777" w:rsidR="00C42D11" w:rsidRDefault="00C42D11" w:rsidP="00123DC6">
      <w:pPr>
        <w:widowControl/>
        <w:ind w:left="360"/>
        <w:rPr>
          <w:color w:val="000000"/>
        </w:rPr>
      </w:pPr>
      <w:r>
        <w:t>CSDP should continue to take advantages of UNDP</w:t>
      </w:r>
      <w:r w:rsidR="00845596">
        <w:t>’s</w:t>
      </w:r>
      <w:r>
        <w:t xml:space="preserve"> </w:t>
      </w:r>
      <w:r w:rsidR="00D977B5">
        <w:t xml:space="preserve">good relation to </w:t>
      </w:r>
      <w:r>
        <w:t>the governance sector, e.g. through the continuation of the legal component, which can address the t</w:t>
      </w:r>
      <w:r w:rsidRPr="000B0867">
        <w:rPr>
          <w:color w:val="000000"/>
        </w:rPr>
        <w:t xml:space="preserve">hreats and opportunities </w:t>
      </w:r>
      <w:r>
        <w:rPr>
          <w:color w:val="000000"/>
        </w:rPr>
        <w:t xml:space="preserve">in relation to the regulation and implementation of the </w:t>
      </w:r>
      <w:r w:rsidRPr="000B0867">
        <w:rPr>
          <w:color w:val="000000"/>
        </w:rPr>
        <w:t>‘Law on Civil Associations’</w:t>
      </w:r>
      <w:r>
        <w:rPr>
          <w:color w:val="000000"/>
        </w:rPr>
        <w:t xml:space="preserve"> as well as laws on taxation, charity, access to public information, etc.</w:t>
      </w:r>
    </w:p>
    <w:p w14:paraId="7591A51D" w14:textId="77777777" w:rsidR="00C42D11" w:rsidRPr="000B0867" w:rsidRDefault="00C42D11" w:rsidP="00C42D11"/>
    <w:p w14:paraId="7591A51E" w14:textId="77777777" w:rsidR="00C42D11" w:rsidRPr="0006532F" w:rsidRDefault="00C42D11" w:rsidP="00C42D11">
      <w:pPr>
        <w:widowControl/>
        <w:numPr>
          <w:ilvl w:val="0"/>
          <w:numId w:val="14"/>
        </w:numPr>
        <w:ind w:left="360"/>
      </w:pPr>
      <w:r w:rsidRPr="00123DC6">
        <w:rPr>
          <w:i/>
        </w:rPr>
        <w:t>Reasons for continuing</w:t>
      </w:r>
      <w:r>
        <w:t>:</w:t>
      </w:r>
    </w:p>
    <w:p w14:paraId="7591A51F" w14:textId="77777777" w:rsidR="00C42D11" w:rsidRDefault="00C42D11" w:rsidP="00C42D11">
      <w:pPr>
        <w:ind w:left="360"/>
      </w:pPr>
      <w:r w:rsidRPr="0006532F">
        <w:t xml:space="preserve">As mentioned </w:t>
      </w:r>
      <w:r>
        <w:t xml:space="preserve">in this report, </w:t>
      </w:r>
      <w:r w:rsidRPr="0006532F">
        <w:t>the programme has succeeded in supporting a wide range of civil society organisations</w:t>
      </w:r>
      <w:r>
        <w:t xml:space="preserve">. </w:t>
      </w:r>
      <w:r w:rsidRPr="0006532F">
        <w:t>The support is slightly different from</w:t>
      </w:r>
      <w:r w:rsidR="00845596">
        <w:t xml:space="preserve"> that of o</w:t>
      </w:r>
      <w:r w:rsidRPr="0006532F">
        <w:t>ther donors in supporting a variety of smaller and medium size NGOs – many of these with good outreach into different target groups</w:t>
      </w:r>
      <w:r>
        <w:t xml:space="preserve"> in seven oblast</w:t>
      </w:r>
      <w:r w:rsidR="00D977B5">
        <w:t>s</w:t>
      </w:r>
      <w:r w:rsidRPr="0006532F">
        <w:t>.</w:t>
      </w:r>
      <w:r>
        <w:t xml:space="preserve"> </w:t>
      </w:r>
      <w:r w:rsidRPr="0006532F">
        <w:t>It is also evident that such a support will be needed for years to come</w:t>
      </w:r>
      <w:r>
        <w:t xml:space="preserve"> in relation to advocacy service delivery and capacity development.</w:t>
      </w:r>
    </w:p>
    <w:p w14:paraId="7591A520" w14:textId="77777777" w:rsidR="00C42D11" w:rsidRPr="0006532F" w:rsidRDefault="00C42D11" w:rsidP="00C42D11"/>
    <w:p w14:paraId="7591A521" w14:textId="77777777" w:rsidR="00C42D11" w:rsidRPr="00D977B5" w:rsidRDefault="00C42D11" w:rsidP="00C42D11">
      <w:pPr>
        <w:widowControl/>
        <w:numPr>
          <w:ilvl w:val="0"/>
          <w:numId w:val="14"/>
        </w:numPr>
        <w:ind w:left="360"/>
        <w:rPr>
          <w:i/>
        </w:rPr>
      </w:pPr>
      <w:r w:rsidRPr="00D977B5">
        <w:rPr>
          <w:i/>
        </w:rPr>
        <w:t xml:space="preserve">Strengths to be continued: </w:t>
      </w:r>
    </w:p>
    <w:p w14:paraId="7591A522" w14:textId="77777777" w:rsidR="00C42D11" w:rsidRDefault="00C42D11" w:rsidP="00C42D11">
      <w:pPr>
        <w:pStyle w:val="ListParagraph"/>
        <w:numPr>
          <w:ilvl w:val="0"/>
          <w:numId w:val="26"/>
        </w:numPr>
      </w:pPr>
      <w:r>
        <w:t>The legal component has been successful</w:t>
      </w:r>
      <w:r w:rsidR="00845596">
        <w:t xml:space="preserve"> </w:t>
      </w:r>
      <w:r>
        <w:t xml:space="preserve">and requires monitoring and follow-up from Ukrainian CSO networks the </w:t>
      </w:r>
      <w:r w:rsidR="00D977B5">
        <w:t>following</w:t>
      </w:r>
      <w:r>
        <w:t xml:space="preserve"> years.</w:t>
      </w:r>
    </w:p>
    <w:p w14:paraId="7591A523" w14:textId="77777777" w:rsidR="00C42D11" w:rsidRDefault="00845596" w:rsidP="00C42D11">
      <w:pPr>
        <w:pStyle w:val="ListParagraph"/>
        <w:numPr>
          <w:ilvl w:val="0"/>
          <w:numId w:val="26"/>
        </w:numPr>
      </w:pPr>
      <w:r>
        <w:t>T</w:t>
      </w:r>
      <w:r w:rsidR="00C42D11" w:rsidRPr="0006532F">
        <w:t>he capacity and size, the strategic approach within an overall frame, the ability to reach the grassroots</w:t>
      </w:r>
      <w:r w:rsidR="00D977B5">
        <w:t xml:space="preserve">, </w:t>
      </w:r>
      <w:r w:rsidR="00C42D11">
        <w:t>CSDP</w:t>
      </w:r>
      <w:r>
        <w:t>’s</w:t>
      </w:r>
      <w:r w:rsidR="00C42D11">
        <w:t xml:space="preserve"> </w:t>
      </w:r>
      <w:r w:rsidR="00D977B5">
        <w:t>support t</w:t>
      </w:r>
      <w:r>
        <w:t>o</w:t>
      </w:r>
      <w:r w:rsidR="00C42D11">
        <w:t xml:space="preserve"> local CSOs working in </w:t>
      </w:r>
      <w:r>
        <w:t xml:space="preserve">a number of </w:t>
      </w:r>
      <w:r w:rsidR="00C42D11" w:rsidRPr="001B2B06">
        <w:t>oblast</w:t>
      </w:r>
      <w:r>
        <w:t>s</w:t>
      </w:r>
      <w:r w:rsidR="00C42D11">
        <w:t xml:space="preserve">, which connect </w:t>
      </w:r>
      <w:r w:rsidR="00C42D11" w:rsidRPr="001B2B06">
        <w:t>service delivery with advocacy at local l</w:t>
      </w:r>
      <w:r w:rsidR="00C42D11">
        <w:t>evel</w:t>
      </w:r>
      <w:r w:rsidR="00D977B5">
        <w:t xml:space="preserve">, </w:t>
      </w:r>
      <w:r w:rsidR="00C42D11">
        <w:t xml:space="preserve">CSDP </w:t>
      </w:r>
      <w:r w:rsidR="00D977B5">
        <w:t xml:space="preserve">strength in </w:t>
      </w:r>
      <w:r>
        <w:t>promoting</w:t>
      </w:r>
      <w:r w:rsidR="00C42D11">
        <w:t xml:space="preserve"> collaboration between CSOs and </w:t>
      </w:r>
      <w:r w:rsidR="00C42D11" w:rsidRPr="001B2B06">
        <w:t>local authorities</w:t>
      </w:r>
      <w:r w:rsidR="00D977B5">
        <w:t xml:space="preserve"> are all strength which will be needed</w:t>
      </w:r>
      <w:r w:rsidR="00C42D11">
        <w:t>.</w:t>
      </w:r>
    </w:p>
    <w:p w14:paraId="7591A524" w14:textId="77777777" w:rsidR="00C42D11" w:rsidRDefault="00C42D11" w:rsidP="00C42D11">
      <w:pPr>
        <w:pStyle w:val="ListParagraph"/>
        <w:numPr>
          <w:ilvl w:val="0"/>
          <w:numId w:val="26"/>
        </w:numPr>
      </w:pPr>
      <w:r w:rsidRPr="0006532F">
        <w:t>The well</w:t>
      </w:r>
      <w:r w:rsidR="00D977B5">
        <w:t>-</w:t>
      </w:r>
      <w:r w:rsidRPr="0006532F">
        <w:t>functioning “</w:t>
      </w:r>
      <w:r>
        <w:t xml:space="preserve">small-grants </w:t>
      </w:r>
      <w:r w:rsidRPr="0006532F">
        <w:t>machinery”</w:t>
      </w:r>
      <w:r w:rsidR="00DC6559">
        <w:t>,</w:t>
      </w:r>
      <w:r w:rsidRPr="0006532F">
        <w:t xml:space="preserve"> ensuring that projects are selected and that fu</w:t>
      </w:r>
      <w:r>
        <w:t>nds are channelled to the CSOs in the regions.</w:t>
      </w:r>
    </w:p>
    <w:p w14:paraId="7591A525" w14:textId="77777777" w:rsidR="00C42D11" w:rsidRDefault="00C42D11" w:rsidP="00C42D11">
      <w:pPr>
        <w:pStyle w:val="ListParagraph"/>
        <w:numPr>
          <w:ilvl w:val="0"/>
          <w:numId w:val="26"/>
        </w:numPr>
      </w:pPr>
      <w:r w:rsidRPr="0006532F">
        <w:t>The</w:t>
      </w:r>
      <w:r w:rsidR="00845596">
        <w:t xml:space="preserve"> fact that the </w:t>
      </w:r>
      <w:r w:rsidRPr="0006532F">
        <w:t>programme support</w:t>
      </w:r>
      <w:r>
        <w:t xml:space="preserve">s </w:t>
      </w:r>
      <w:r w:rsidRPr="0006532F">
        <w:t xml:space="preserve">CSOs own </w:t>
      </w:r>
      <w:r>
        <w:t xml:space="preserve">mandate and planned </w:t>
      </w:r>
      <w:r w:rsidRPr="0006532F">
        <w:t>activities</w:t>
      </w:r>
      <w:r>
        <w:t>.</w:t>
      </w:r>
    </w:p>
    <w:p w14:paraId="7591A526" w14:textId="77777777" w:rsidR="00C42D11" w:rsidRDefault="00C42D11" w:rsidP="00C42D11">
      <w:pPr>
        <w:pStyle w:val="ListParagraph"/>
        <w:numPr>
          <w:ilvl w:val="0"/>
          <w:numId w:val="26"/>
        </w:numPr>
      </w:pPr>
      <w:r>
        <w:t>Programme m</w:t>
      </w:r>
      <w:r w:rsidRPr="0006532F">
        <w:t>anagement in Kiev</w:t>
      </w:r>
      <w:r>
        <w:t xml:space="preserve"> approaching Ukrainian CSO implementing </w:t>
      </w:r>
      <w:r w:rsidRPr="0006532F">
        <w:t xml:space="preserve">partners and international </w:t>
      </w:r>
      <w:r>
        <w:t>advisors providing specialised strategic inputs and transferring relevant international experiences.</w:t>
      </w:r>
    </w:p>
    <w:p w14:paraId="7591A527" w14:textId="77777777" w:rsidR="00C42D11" w:rsidRPr="0006532F" w:rsidRDefault="00C42D11" w:rsidP="00C42D11"/>
    <w:p w14:paraId="7591A528" w14:textId="77777777" w:rsidR="00C42D11" w:rsidRPr="00D977B5" w:rsidRDefault="00C42D11" w:rsidP="00C42D11">
      <w:pPr>
        <w:widowControl/>
        <w:numPr>
          <w:ilvl w:val="0"/>
          <w:numId w:val="14"/>
        </w:numPr>
        <w:ind w:left="360"/>
        <w:rPr>
          <w:i/>
        </w:rPr>
      </w:pPr>
      <w:r w:rsidRPr="00D977B5">
        <w:rPr>
          <w:i/>
        </w:rPr>
        <w:t>Special considerations to be taken into account:</w:t>
      </w:r>
    </w:p>
    <w:p w14:paraId="7591A529" w14:textId="77777777" w:rsidR="00C42D11" w:rsidRPr="0006532F" w:rsidRDefault="00C42D11" w:rsidP="00C42D11">
      <w:pPr>
        <w:ind w:left="360"/>
      </w:pPr>
      <w:r w:rsidRPr="0006532F">
        <w:lastRenderedPageBreak/>
        <w:t xml:space="preserve">It can be argued that </w:t>
      </w:r>
      <w:r>
        <w:t xml:space="preserve">a </w:t>
      </w:r>
      <w:r w:rsidRPr="0006532F">
        <w:t xml:space="preserve">new phase </w:t>
      </w:r>
      <w:r>
        <w:t xml:space="preserve">should reflect upon </w:t>
      </w:r>
      <w:r w:rsidRPr="0006532F">
        <w:t>wh</w:t>
      </w:r>
      <w:r w:rsidR="00845596">
        <w:t xml:space="preserve">ich </w:t>
      </w:r>
      <w:r w:rsidRPr="0006532F">
        <w:t xml:space="preserve">new </w:t>
      </w:r>
      <w:r>
        <w:t xml:space="preserve">things </w:t>
      </w:r>
      <w:r w:rsidRPr="0006532F">
        <w:t xml:space="preserve">to </w:t>
      </w:r>
      <w:r w:rsidR="00DC6559">
        <w:t xml:space="preserve">initiate </w:t>
      </w:r>
      <w:r w:rsidRPr="0006532F">
        <w:t xml:space="preserve">and what to do different in order not to fall into a </w:t>
      </w:r>
      <w:r>
        <w:t>‘</w:t>
      </w:r>
      <w:r w:rsidRPr="0006532F">
        <w:t>developmental comfort zone</w:t>
      </w:r>
      <w:r>
        <w:t>’</w:t>
      </w:r>
      <w:r w:rsidRPr="0006532F">
        <w:t>. T</w:t>
      </w:r>
      <w:r>
        <w:t xml:space="preserve">he following </w:t>
      </w:r>
      <w:r w:rsidRPr="0006532F">
        <w:t xml:space="preserve">considerations </w:t>
      </w:r>
      <w:r w:rsidR="00845596">
        <w:t xml:space="preserve">could be </w:t>
      </w:r>
      <w:r w:rsidRPr="0006532F">
        <w:t>take</w:t>
      </w:r>
      <w:r w:rsidR="00845596">
        <w:t>n</w:t>
      </w:r>
      <w:r w:rsidRPr="0006532F">
        <w:t xml:space="preserve"> into account</w:t>
      </w:r>
      <w:r w:rsidR="00DC6559">
        <w:t>,</w:t>
      </w:r>
      <w:r w:rsidRPr="0006532F">
        <w:t xml:space="preserve"> if a new phase is going to be prepared. </w:t>
      </w:r>
    </w:p>
    <w:p w14:paraId="7591A52A" w14:textId="77777777" w:rsidR="00C42D11" w:rsidRPr="003E63B0" w:rsidRDefault="00C42D11" w:rsidP="00C42D11">
      <w:pPr>
        <w:tabs>
          <w:tab w:val="left" w:pos="2232"/>
        </w:tabs>
        <w:rPr>
          <w:lang w:val="en-US"/>
        </w:rPr>
      </w:pPr>
      <w:r w:rsidRPr="0006532F">
        <w:t xml:space="preserve"> </w:t>
      </w:r>
    </w:p>
    <w:p w14:paraId="7591A52B"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sidRPr="0006532F">
        <w:rPr>
          <w:rFonts w:ascii="Garamond" w:hAnsi="Garamond"/>
        </w:rPr>
        <w:t>The diversity of the recipient CSOs should be taken into account. In the work</w:t>
      </w:r>
      <w:r w:rsidR="00DC6559">
        <w:rPr>
          <w:rFonts w:ascii="Garamond" w:hAnsi="Garamond"/>
        </w:rPr>
        <w:t>,</w:t>
      </w:r>
      <w:r w:rsidRPr="0006532F">
        <w:rPr>
          <w:rFonts w:ascii="Garamond" w:hAnsi="Garamond"/>
        </w:rPr>
        <w:t xml:space="preserve"> the diversity of </w:t>
      </w:r>
      <w:r>
        <w:rPr>
          <w:rFonts w:ascii="Garamond" w:hAnsi="Garamond"/>
        </w:rPr>
        <w:t xml:space="preserve">technical </w:t>
      </w:r>
      <w:r w:rsidRPr="0006532F">
        <w:rPr>
          <w:rFonts w:ascii="Garamond" w:hAnsi="Garamond"/>
        </w:rPr>
        <w:t>competence and organisational strength, which does not necessarily coincide, should be acknowledged. There should be a larger di</w:t>
      </w:r>
      <w:r>
        <w:rPr>
          <w:rFonts w:ascii="Garamond" w:hAnsi="Garamond"/>
        </w:rPr>
        <w:t xml:space="preserve">fferentiation </w:t>
      </w:r>
      <w:r w:rsidRPr="0006532F">
        <w:rPr>
          <w:rFonts w:ascii="Garamond" w:hAnsi="Garamond"/>
        </w:rPr>
        <w:t>of capacity development su</w:t>
      </w:r>
      <w:r>
        <w:rPr>
          <w:rFonts w:ascii="Garamond" w:hAnsi="Garamond"/>
        </w:rPr>
        <w:t>pport and ways of channelling funds.</w:t>
      </w:r>
    </w:p>
    <w:p w14:paraId="7591A52C" w14:textId="77777777" w:rsidR="00C42D11" w:rsidRPr="0006532F" w:rsidRDefault="00C03C46" w:rsidP="00C42D11">
      <w:pPr>
        <w:pStyle w:val="Listeafsnit1"/>
        <w:numPr>
          <w:ilvl w:val="0"/>
          <w:numId w:val="15"/>
        </w:numPr>
        <w:autoSpaceDE w:val="0"/>
        <w:autoSpaceDN w:val="0"/>
        <w:adjustRightInd w:val="0"/>
        <w:spacing w:after="120"/>
        <w:ind w:left="714" w:hanging="357"/>
        <w:rPr>
          <w:rFonts w:ascii="Garamond" w:hAnsi="Garamond"/>
        </w:rPr>
      </w:pPr>
      <w:r>
        <w:rPr>
          <w:rFonts w:ascii="Garamond" w:hAnsi="Garamond"/>
        </w:rPr>
        <w:t xml:space="preserve">The reports from the IPs </w:t>
      </w:r>
      <w:r w:rsidR="00680288">
        <w:rPr>
          <w:rFonts w:ascii="Garamond" w:hAnsi="Garamond"/>
        </w:rPr>
        <w:t>reveal that t</w:t>
      </w:r>
      <w:r w:rsidR="00C42D11" w:rsidRPr="0006532F">
        <w:rPr>
          <w:rFonts w:ascii="Garamond" w:hAnsi="Garamond"/>
        </w:rPr>
        <w:t>he tender processes are extremely laborious</w:t>
      </w:r>
      <w:r w:rsidR="00C42D11">
        <w:rPr>
          <w:rFonts w:ascii="Garamond" w:hAnsi="Garamond"/>
        </w:rPr>
        <w:t xml:space="preserve"> </w:t>
      </w:r>
      <w:r w:rsidR="00680288">
        <w:rPr>
          <w:rFonts w:ascii="Garamond" w:hAnsi="Garamond"/>
        </w:rPr>
        <w:t>(a</w:t>
      </w:r>
      <w:r w:rsidR="00C42D11">
        <w:rPr>
          <w:rFonts w:ascii="Garamond" w:hAnsi="Garamond"/>
        </w:rPr>
        <w:t>nd</w:t>
      </w:r>
      <w:r w:rsidR="00680288">
        <w:rPr>
          <w:rFonts w:ascii="Garamond" w:hAnsi="Garamond"/>
        </w:rPr>
        <w:t xml:space="preserve"> thereby </w:t>
      </w:r>
      <w:r w:rsidR="00C42D11">
        <w:rPr>
          <w:rFonts w:ascii="Garamond" w:hAnsi="Garamond"/>
        </w:rPr>
        <w:t>costly</w:t>
      </w:r>
      <w:r w:rsidR="00680288">
        <w:rPr>
          <w:rFonts w:ascii="Garamond" w:hAnsi="Garamond"/>
        </w:rPr>
        <w:t>)</w:t>
      </w:r>
      <w:r w:rsidR="00E143DE">
        <w:rPr>
          <w:rFonts w:ascii="Garamond" w:hAnsi="Garamond"/>
        </w:rPr>
        <w:t xml:space="preserve">. The total amount of labour and costs involved in the tendering process </w:t>
      </w:r>
      <w:r w:rsidR="00C42D11">
        <w:rPr>
          <w:rFonts w:ascii="Garamond" w:hAnsi="Garamond"/>
        </w:rPr>
        <w:t xml:space="preserve">could be </w:t>
      </w:r>
      <w:r w:rsidR="00C42D11" w:rsidRPr="0006532F">
        <w:rPr>
          <w:rFonts w:ascii="Garamond" w:hAnsi="Garamond"/>
        </w:rPr>
        <w:t>diminished by having longer implementation periods and larger budgets for more well</w:t>
      </w:r>
      <w:r w:rsidR="00DC6559">
        <w:rPr>
          <w:rFonts w:ascii="Garamond" w:hAnsi="Garamond"/>
        </w:rPr>
        <w:t>-</w:t>
      </w:r>
      <w:r w:rsidR="00C42D11" w:rsidRPr="0006532F">
        <w:rPr>
          <w:rFonts w:ascii="Garamond" w:hAnsi="Garamond"/>
        </w:rPr>
        <w:t xml:space="preserve">established CSOs. In some cases core funding could be considered for such organisations. This would follow the </w:t>
      </w:r>
      <w:smartTag w:uri="urn:schemas-microsoft-com:office:smarttags" w:element="City">
        <w:smartTag w:uri="urn:schemas-microsoft-com:office:smarttags" w:element="place">
          <w:r w:rsidR="00C42D11" w:rsidRPr="0006532F">
            <w:rPr>
              <w:rFonts w:ascii="Garamond" w:hAnsi="Garamond"/>
            </w:rPr>
            <w:t>Paris</w:t>
          </w:r>
        </w:smartTag>
      </w:smartTag>
      <w:r w:rsidR="00C42D11">
        <w:rPr>
          <w:rFonts w:ascii="Garamond" w:hAnsi="Garamond"/>
        </w:rPr>
        <w:t xml:space="preserve"> principles</w:t>
      </w:r>
      <w:r w:rsidR="00C42D11" w:rsidRPr="0006532F">
        <w:rPr>
          <w:rFonts w:ascii="Garamond" w:hAnsi="Garamond"/>
        </w:rPr>
        <w:t xml:space="preserve"> and the recommendation </w:t>
      </w:r>
      <w:r w:rsidR="00C42D11">
        <w:rPr>
          <w:rFonts w:ascii="Garamond" w:hAnsi="Garamond"/>
        </w:rPr>
        <w:t xml:space="preserve">expected </w:t>
      </w:r>
      <w:r w:rsidR="00C42D11" w:rsidRPr="0006532F">
        <w:rPr>
          <w:rFonts w:ascii="Garamond" w:hAnsi="Garamond"/>
        </w:rPr>
        <w:t xml:space="preserve">from </w:t>
      </w:r>
      <w:r w:rsidR="00C42D11">
        <w:rPr>
          <w:rFonts w:ascii="Garamond" w:hAnsi="Garamond"/>
        </w:rPr>
        <w:t xml:space="preserve">the </w:t>
      </w:r>
      <w:r w:rsidR="00C42D11" w:rsidRPr="0006532F">
        <w:rPr>
          <w:rFonts w:ascii="Garamond" w:hAnsi="Garamond"/>
        </w:rPr>
        <w:t>Busan</w:t>
      </w:r>
      <w:r w:rsidR="00C42D11">
        <w:rPr>
          <w:rFonts w:ascii="Garamond" w:hAnsi="Garamond"/>
        </w:rPr>
        <w:t xml:space="preserve"> high-level conference.</w:t>
      </w:r>
    </w:p>
    <w:p w14:paraId="7591A52D"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sidRPr="0006532F">
        <w:rPr>
          <w:rFonts w:ascii="Garamond" w:hAnsi="Garamond"/>
        </w:rPr>
        <w:t xml:space="preserve">CSDP could strengthen the linkages between local – national – regional and international level through promoting </w:t>
      </w:r>
      <w:r>
        <w:rPr>
          <w:rFonts w:ascii="Garamond" w:hAnsi="Garamond"/>
        </w:rPr>
        <w:t xml:space="preserve">increased </w:t>
      </w:r>
      <w:r w:rsidRPr="0006532F">
        <w:rPr>
          <w:rFonts w:ascii="Garamond" w:hAnsi="Garamond"/>
        </w:rPr>
        <w:t xml:space="preserve">involvement of </w:t>
      </w:r>
      <w:r>
        <w:rPr>
          <w:rFonts w:ascii="Garamond" w:hAnsi="Garamond"/>
        </w:rPr>
        <w:t xml:space="preserve">participating CSOs </w:t>
      </w:r>
      <w:r w:rsidRPr="0006532F">
        <w:rPr>
          <w:rFonts w:ascii="Garamond" w:hAnsi="Garamond"/>
        </w:rPr>
        <w:t xml:space="preserve">in networking, national coalition etc. </w:t>
      </w:r>
      <w:r>
        <w:rPr>
          <w:rFonts w:ascii="Garamond" w:hAnsi="Garamond"/>
        </w:rPr>
        <w:t xml:space="preserve">In the project </w:t>
      </w:r>
      <w:r w:rsidRPr="0006532F">
        <w:rPr>
          <w:rFonts w:ascii="Garamond" w:hAnsi="Garamond"/>
        </w:rPr>
        <w:t>applications</w:t>
      </w:r>
      <w:r>
        <w:rPr>
          <w:rFonts w:ascii="Garamond" w:hAnsi="Garamond"/>
        </w:rPr>
        <w:t>, they could</w:t>
      </w:r>
      <w:r w:rsidRPr="0006532F">
        <w:rPr>
          <w:rFonts w:ascii="Garamond" w:hAnsi="Garamond"/>
        </w:rPr>
        <w:t xml:space="preserve"> be requested to explain how to strengthen their linkages and networking, e.g. collaboration with national CSO networks on influencing national legislation/strategies, it could be anchors to international conventions and fora, it could be local case stories to a national shadow report to the UN Universal Periodic Review (UPR), etc.</w:t>
      </w:r>
    </w:p>
    <w:p w14:paraId="7591A52E"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sidRPr="0006532F">
        <w:rPr>
          <w:rFonts w:ascii="Garamond" w:hAnsi="Garamond"/>
        </w:rPr>
        <w:t xml:space="preserve">Capacity development should </w:t>
      </w:r>
      <w:r>
        <w:rPr>
          <w:rFonts w:ascii="Garamond" w:hAnsi="Garamond"/>
        </w:rPr>
        <w:t>move beyond the training approach to a comprehensive approach based on international approaches and experiences. C</w:t>
      </w:r>
      <w:r w:rsidRPr="0006532F">
        <w:rPr>
          <w:rFonts w:ascii="Garamond" w:hAnsi="Garamond"/>
        </w:rPr>
        <w:t>apacity development should be the task of mainly</w:t>
      </w:r>
      <w:r>
        <w:rPr>
          <w:rFonts w:ascii="Garamond" w:hAnsi="Garamond"/>
        </w:rPr>
        <w:t xml:space="preserve"> national NGOs, which are </w:t>
      </w:r>
      <w:r w:rsidRPr="0006532F">
        <w:rPr>
          <w:rFonts w:ascii="Garamond" w:hAnsi="Garamond"/>
        </w:rPr>
        <w:t>experienced</w:t>
      </w:r>
      <w:r>
        <w:rPr>
          <w:rFonts w:ascii="Garamond" w:hAnsi="Garamond"/>
        </w:rPr>
        <w:t xml:space="preserve"> within this field</w:t>
      </w:r>
      <w:r w:rsidRPr="0006532F">
        <w:rPr>
          <w:rFonts w:ascii="Garamond" w:hAnsi="Garamond"/>
        </w:rPr>
        <w:t>. The</w:t>
      </w:r>
      <w:r>
        <w:rPr>
          <w:rFonts w:ascii="Garamond" w:hAnsi="Garamond"/>
        </w:rPr>
        <w:t xml:space="preserve">y </w:t>
      </w:r>
      <w:r w:rsidRPr="0006532F">
        <w:rPr>
          <w:rFonts w:ascii="Garamond" w:hAnsi="Garamond"/>
        </w:rPr>
        <w:t>could also</w:t>
      </w:r>
      <w:r>
        <w:rPr>
          <w:rFonts w:ascii="Garamond" w:hAnsi="Garamond"/>
        </w:rPr>
        <w:t xml:space="preserve"> to certain degree count on international ‘</w:t>
      </w:r>
      <w:r w:rsidRPr="0006532F">
        <w:rPr>
          <w:rFonts w:ascii="Garamond" w:hAnsi="Garamond"/>
        </w:rPr>
        <w:t>capacity developers</w:t>
      </w:r>
      <w:r>
        <w:rPr>
          <w:rFonts w:ascii="Garamond" w:hAnsi="Garamond"/>
        </w:rPr>
        <w:t>’</w:t>
      </w:r>
      <w:r w:rsidRPr="0006532F">
        <w:rPr>
          <w:rFonts w:ascii="Garamond" w:hAnsi="Garamond"/>
        </w:rPr>
        <w:t xml:space="preserve"> </w:t>
      </w:r>
      <w:r>
        <w:rPr>
          <w:rFonts w:ascii="Garamond" w:hAnsi="Garamond"/>
        </w:rPr>
        <w:t>for further improv</w:t>
      </w:r>
      <w:r w:rsidR="00DC6559">
        <w:rPr>
          <w:rFonts w:ascii="Garamond" w:hAnsi="Garamond"/>
        </w:rPr>
        <w:t>ing</w:t>
      </w:r>
      <w:r>
        <w:rPr>
          <w:rFonts w:ascii="Garamond" w:hAnsi="Garamond"/>
        </w:rPr>
        <w:t xml:space="preserve"> their skills and tools to be transferred to the participating CSOs in the regions.</w:t>
      </w:r>
    </w:p>
    <w:p w14:paraId="7591A52F"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sidRPr="0006532F">
        <w:rPr>
          <w:rFonts w:ascii="Garamond" w:hAnsi="Garamond"/>
        </w:rPr>
        <w:t>Thus the CSOs could – if motivated - benefit from differentiated capacity development efforts (being built into</w:t>
      </w:r>
      <w:r w:rsidR="00DC6559">
        <w:rPr>
          <w:rFonts w:ascii="Garamond" w:hAnsi="Garamond"/>
        </w:rPr>
        <w:t xml:space="preserve"> a</w:t>
      </w:r>
      <w:r w:rsidRPr="0006532F">
        <w:rPr>
          <w:rFonts w:ascii="Garamond" w:hAnsi="Garamond"/>
        </w:rPr>
        <w:t xml:space="preserve"> possible next phase), aimed at increasing partners organisational capacity. The next phase could also include a specific budget line for ‘capacity builders´ to be spent in accordance with Terms of References suggested by the </w:t>
      </w:r>
      <w:r>
        <w:rPr>
          <w:rFonts w:ascii="Garamond" w:hAnsi="Garamond"/>
        </w:rPr>
        <w:t xml:space="preserve">CSO </w:t>
      </w:r>
      <w:r w:rsidRPr="0006532F">
        <w:rPr>
          <w:rFonts w:ascii="Garamond" w:hAnsi="Garamond"/>
        </w:rPr>
        <w:t>partners, who can draw on a good resource base from the Implementing NGOs as well as the UNITER marketplace</w:t>
      </w:r>
      <w:r>
        <w:rPr>
          <w:rFonts w:ascii="Garamond" w:hAnsi="Garamond"/>
        </w:rPr>
        <w:t xml:space="preserve"> (demand-driven with vouchers), e.g. </w:t>
      </w:r>
      <w:r w:rsidRPr="0006532F">
        <w:rPr>
          <w:rFonts w:ascii="Garamond" w:hAnsi="Garamond"/>
        </w:rPr>
        <w:t xml:space="preserve">experienced process facilitators on </w:t>
      </w:r>
      <w:r>
        <w:rPr>
          <w:rFonts w:ascii="Garamond" w:hAnsi="Garamond"/>
        </w:rPr>
        <w:t xml:space="preserve">organisational development, leadership and </w:t>
      </w:r>
      <w:r w:rsidRPr="0006532F">
        <w:rPr>
          <w:rFonts w:ascii="Garamond" w:hAnsi="Garamond"/>
        </w:rPr>
        <w:t>change processes.</w:t>
      </w:r>
    </w:p>
    <w:p w14:paraId="7591A530" w14:textId="77777777" w:rsidR="00C42D11" w:rsidRPr="0006532F" w:rsidRDefault="00C42D11" w:rsidP="00DC6559">
      <w:pPr>
        <w:pStyle w:val="Listeafsnit1"/>
        <w:numPr>
          <w:ilvl w:val="0"/>
          <w:numId w:val="15"/>
        </w:numPr>
        <w:autoSpaceDE w:val="0"/>
        <w:autoSpaceDN w:val="0"/>
        <w:adjustRightInd w:val="0"/>
        <w:spacing w:after="120"/>
        <w:rPr>
          <w:rFonts w:ascii="Garamond" w:hAnsi="Garamond"/>
        </w:rPr>
      </w:pPr>
      <w:r w:rsidRPr="0006532F">
        <w:rPr>
          <w:rFonts w:ascii="Garamond" w:hAnsi="Garamond"/>
        </w:rPr>
        <w:t>For strengthening Ukrainian ownership and the possibilities for partnerships</w:t>
      </w:r>
      <w:r w:rsidR="00DC6559" w:rsidRPr="00DC6559">
        <w:t xml:space="preserve"> </w:t>
      </w:r>
      <w:r w:rsidR="00DC6559" w:rsidRPr="00DC6559">
        <w:rPr>
          <w:rFonts w:ascii="Garamond" w:hAnsi="Garamond"/>
        </w:rPr>
        <w:t xml:space="preserve">the sub-contracts and financial transfers from UNDP </w:t>
      </w:r>
      <w:r w:rsidR="004F40A5">
        <w:rPr>
          <w:rFonts w:ascii="Garamond" w:hAnsi="Garamond"/>
        </w:rPr>
        <w:t xml:space="preserve">through </w:t>
      </w:r>
      <w:r w:rsidR="00DC6559" w:rsidRPr="0006532F">
        <w:rPr>
          <w:rFonts w:ascii="Garamond" w:hAnsi="Garamond"/>
        </w:rPr>
        <w:t xml:space="preserve">the </w:t>
      </w:r>
      <w:r w:rsidR="00DC6559">
        <w:rPr>
          <w:rFonts w:ascii="Garamond" w:hAnsi="Garamond"/>
        </w:rPr>
        <w:t xml:space="preserve">Ukrainian Implementing CSO Partners </w:t>
      </w:r>
      <w:r w:rsidRPr="0006532F">
        <w:rPr>
          <w:rFonts w:ascii="Garamond" w:hAnsi="Garamond"/>
        </w:rPr>
        <w:t>should be looked into</w:t>
      </w:r>
      <w:r w:rsidR="00DC6559">
        <w:rPr>
          <w:rFonts w:ascii="Garamond" w:hAnsi="Garamond"/>
        </w:rPr>
        <w:t>.</w:t>
      </w:r>
      <w:r>
        <w:rPr>
          <w:rFonts w:ascii="Garamond" w:hAnsi="Garamond"/>
        </w:rPr>
        <w:t xml:space="preserve"> Their </w:t>
      </w:r>
      <w:r w:rsidRPr="0006532F">
        <w:rPr>
          <w:rFonts w:ascii="Garamond" w:hAnsi="Garamond"/>
        </w:rPr>
        <w:t xml:space="preserve">role </w:t>
      </w:r>
      <w:r>
        <w:rPr>
          <w:rFonts w:ascii="Garamond" w:hAnsi="Garamond"/>
        </w:rPr>
        <w:t xml:space="preserve">could </w:t>
      </w:r>
      <w:r w:rsidRPr="0006532F">
        <w:rPr>
          <w:rFonts w:ascii="Garamond" w:hAnsi="Garamond"/>
        </w:rPr>
        <w:t>be reformulated</w:t>
      </w:r>
      <w:r>
        <w:rPr>
          <w:rFonts w:ascii="Garamond" w:hAnsi="Garamond"/>
        </w:rPr>
        <w:t xml:space="preserve"> allowing them to strengthen their partnerships with the</w:t>
      </w:r>
      <w:r w:rsidR="00DC6559">
        <w:rPr>
          <w:rFonts w:ascii="Garamond" w:hAnsi="Garamond"/>
        </w:rPr>
        <w:t xml:space="preserve"> beneficiary</w:t>
      </w:r>
      <w:r>
        <w:rPr>
          <w:rFonts w:ascii="Garamond" w:hAnsi="Garamond"/>
        </w:rPr>
        <w:t xml:space="preserve"> CSOs</w:t>
      </w:r>
      <w:r w:rsidRPr="0006532F">
        <w:rPr>
          <w:rFonts w:ascii="Garamond" w:hAnsi="Garamond"/>
        </w:rPr>
        <w:t xml:space="preserve">, </w:t>
      </w:r>
      <w:r>
        <w:rPr>
          <w:rFonts w:ascii="Garamond" w:hAnsi="Garamond"/>
        </w:rPr>
        <w:t xml:space="preserve">meaning </w:t>
      </w:r>
      <w:r w:rsidRPr="0006532F">
        <w:rPr>
          <w:rFonts w:ascii="Garamond" w:hAnsi="Garamond"/>
        </w:rPr>
        <w:t xml:space="preserve">real partners </w:t>
      </w:r>
      <w:r>
        <w:rPr>
          <w:rFonts w:ascii="Garamond" w:hAnsi="Garamond"/>
        </w:rPr>
        <w:t xml:space="preserve">and </w:t>
      </w:r>
      <w:r w:rsidRPr="0006532F">
        <w:rPr>
          <w:rFonts w:ascii="Garamond" w:hAnsi="Garamond"/>
        </w:rPr>
        <w:t>not just service providers</w:t>
      </w:r>
      <w:r>
        <w:rPr>
          <w:rFonts w:ascii="Garamond" w:hAnsi="Garamond"/>
        </w:rPr>
        <w:t>. In addition</w:t>
      </w:r>
      <w:r w:rsidR="00DC6559">
        <w:rPr>
          <w:rFonts w:ascii="Garamond" w:hAnsi="Garamond"/>
        </w:rPr>
        <w:t xml:space="preserve"> a </w:t>
      </w:r>
      <w:r w:rsidRPr="0006532F">
        <w:rPr>
          <w:rFonts w:ascii="Garamond" w:hAnsi="Garamond"/>
        </w:rPr>
        <w:t xml:space="preserve">clear division </w:t>
      </w:r>
      <w:r w:rsidR="00DC6559">
        <w:rPr>
          <w:rFonts w:ascii="Garamond" w:hAnsi="Garamond"/>
        </w:rPr>
        <w:t>o</w:t>
      </w:r>
      <w:r w:rsidRPr="0006532F">
        <w:rPr>
          <w:rFonts w:ascii="Garamond" w:hAnsi="Garamond"/>
        </w:rPr>
        <w:t>f labour and responsibilities between UNDP and the</w:t>
      </w:r>
      <w:r w:rsidR="00DC6559">
        <w:rPr>
          <w:rFonts w:ascii="Garamond" w:hAnsi="Garamond"/>
        </w:rPr>
        <w:t xml:space="preserve"> </w:t>
      </w:r>
      <w:r w:rsidR="004F40A5">
        <w:rPr>
          <w:rFonts w:ascii="Garamond" w:hAnsi="Garamond"/>
        </w:rPr>
        <w:t>Ukrainian</w:t>
      </w:r>
      <w:r w:rsidRPr="0006532F">
        <w:rPr>
          <w:rFonts w:ascii="Garamond" w:hAnsi="Garamond"/>
        </w:rPr>
        <w:t xml:space="preserve"> </w:t>
      </w:r>
      <w:r w:rsidR="00DC6559">
        <w:rPr>
          <w:rFonts w:ascii="Garamond" w:hAnsi="Garamond"/>
        </w:rPr>
        <w:t>i</w:t>
      </w:r>
      <w:r>
        <w:rPr>
          <w:rFonts w:ascii="Garamond" w:hAnsi="Garamond"/>
        </w:rPr>
        <w:t xml:space="preserve">mplementing </w:t>
      </w:r>
      <w:r w:rsidRPr="0006532F">
        <w:rPr>
          <w:rFonts w:ascii="Garamond" w:hAnsi="Garamond"/>
        </w:rPr>
        <w:t>partners</w:t>
      </w:r>
      <w:r w:rsidR="00CD6BDC">
        <w:rPr>
          <w:rFonts w:ascii="Garamond" w:hAnsi="Garamond"/>
        </w:rPr>
        <w:t xml:space="preserve"> should be defined</w:t>
      </w:r>
      <w:r w:rsidRPr="0006532F">
        <w:rPr>
          <w:rFonts w:ascii="Garamond" w:hAnsi="Garamond"/>
        </w:rPr>
        <w:t>.</w:t>
      </w:r>
    </w:p>
    <w:p w14:paraId="7591A531" w14:textId="77777777" w:rsidR="00C42D11" w:rsidRDefault="00C42D11" w:rsidP="00C42D11">
      <w:pPr>
        <w:pStyle w:val="Listeafsnit1"/>
        <w:numPr>
          <w:ilvl w:val="0"/>
          <w:numId w:val="15"/>
        </w:numPr>
        <w:autoSpaceDE w:val="0"/>
        <w:autoSpaceDN w:val="0"/>
        <w:adjustRightInd w:val="0"/>
        <w:spacing w:after="120"/>
        <w:ind w:left="714" w:hanging="357"/>
        <w:rPr>
          <w:rFonts w:ascii="Garamond" w:hAnsi="Garamond"/>
        </w:rPr>
      </w:pPr>
      <w:r>
        <w:rPr>
          <w:rFonts w:ascii="Garamond" w:hAnsi="Garamond"/>
        </w:rPr>
        <w:t xml:space="preserve">UNDP/CSDP’s </w:t>
      </w:r>
      <w:r w:rsidRPr="0006532F">
        <w:rPr>
          <w:rFonts w:ascii="Garamond" w:hAnsi="Garamond"/>
        </w:rPr>
        <w:t>requirements for planning, monitoring and reporting should be considered, so participating Ukrainian CSOs are allowed to make greater headway towards applying the five principles of the Paris Declaration</w:t>
      </w:r>
      <w:r>
        <w:rPr>
          <w:rFonts w:ascii="Garamond" w:hAnsi="Garamond"/>
        </w:rPr>
        <w:t>’s aid effectiveness agenda (ownership, alignment, result based management, accountability and harmonisation). In particular, C</w:t>
      </w:r>
      <w:r w:rsidRPr="0006532F">
        <w:rPr>
          <w:rFonts w:ascii="Garamond" w:hAnsi="Garamond"/>
        </w:rPr>
        <w:t xml:space="preserve">SDP and the Implementing Partners could step up efforts for alignment </w:t>
      </w:r>
      <w:r>
        <w:rPr>
          <w:rFonts w:ascii="Garamond" w:hAnsi="Garamond"/>
        </w:rPr>
        <w:t xml:space="preserve">to the supported </w:t>
      </w:r>
      <w:r w:rsidRPr="0006532F">
        <w:rPr>
          <w:rFonts w:ascii="Garamond" w:hAnsi="Garamond"/>
        </w:rPr>
        <w:t>CSO</w:t>
      </w:r>
      <w:r>
        <w:rPr>
          <w:rFonts w:ascii="Garamond" w:hAnsi="Garamond"/>
        </w:rPr>
        <w:t xml:space="preserve">’s </w:t>
      </w:r>
      <w:r w:rsidRPr="0006532F">
        <w:rPr>
          <w:rFonts w:ascii="Garamond" w:hAnsi="Garamond"/>
        </w:rPr>
        <w:t xml:space="preserve">planning, monitoring and reporting. </w:t>
      </w:r>
    </w:p>
    <w:p w14:paraId="7591A532"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sidRPr="0006532F">
        <w:rPr>
          <w:rFonts w:ascii="Garamond" w:hAnsi="Garamond"/>
        </w:rPr>
        <w:lastRenderedPageBreak/>
        <w:t>In relation to the strongest of the CSOs</w:t>
      </w:r>
      <w:r w:rsidR="004F40A5">
        <w:rPr>
          <w:rFonts w:ascii="Garamond" w:hAnsi="Garamond"/>
        </w:rPr>
        <w:t xml:space="preserve"> a</w:t>
      </w:r>
      <w:r w:rsidRPr="0006532F">
        <w:rPr>
          <w:rFonts w:ascii="Garamond" w:hAnsi="Garamond"/>
        </w:rPr>
        <w:t xml:space="preserve"> ‘core-funding’ modality can be applied for the</w:t>
      </w:r>
      <w:r>
        <w:rPr>
          <w:rFonts w:ascii="Garamond" w:hAnsi="Garamond"/>
        </w:rPr>
        <w:t xml:space="preserve"> entire</w:t>
      </w:r>
      <w:r w:rsidRPr="0006532F">
        <w:rPr>
          <w:rFonts w:ascii="Garamond" w:hAnsi="Garamond"/>
        </w:rPr>
        <w:t xml:space="preserve"> programme period. This would allow for CSDP support – if possible together with other donors - to build on the partner organisations’ existing own governance structures, planning and monitoring as well as downward accountability to their</w:t>
      </w:r>
      <w:r>
        <w:rPr>
          <w:rFonts w:ascii="Garamond" w:hAnsi="Garamond"/>
        </w:rPr>
        <w:t xml:space="preserve"> membership</w:t>
      </w:r>
      <w:r w:rsidR="004F40A5">
        <w:rPr>
          <w:rFonts w:ascii="Garamond" w:hAnsi="Garamond"/>
        </w:rPr>
        <w:t>s</w:t>
      </w:r>
      <w:r>
        <w:rPr>
          <w:rFonts w:ascii="Garamond" w:hAnsi="Garamond"/>
        </w:rPr>
        <w:t xml:space="preserve"> and</w:t>
      </w:r>
      <w:r w:rsidRPr="0006532F">
        <w:rPr>
          <w:rFonts w:ascii="Garamond" w:hAnsi="Garamond"/>
        </w:rPr>
        <w:t xml:space="preserve"> constituencies.</w:t>
      </w:r>
      <w:r>
        <w:rPr>
          <w:rFonts w:ascii="Garamond" w:hAnsi="Garamond"/>
        </w:rPr>
        <w:t xml:space="preserve"> </w:t>
      </w:r>
      <w:r w:rsidR="004F40A5">
        <w:rPr>
          <w:rFonts w:ascii="Garamond" w:hAnsi="Garamond"/>
        </w:rPr>
        <w:t>S</w:t>
      </w:r>
      <w:r>
        <w:rPr>
          <w:rFonts w:ascii="Garamond" w:hAnsi="Garamond"/>
        </w:rPr>
        <w:t xml:space="preserve">ite visits and </w:t>
      </w:r>
      <w:r w:rsidRPr="0006532F">
        <w:rPr>
          <w:rFonts w:ascii="Garamond" w:hAnsi="Garamond"/>
        </w:rPr>
        <w:t>dialogue</w:t>
      </w:r>
      <w:r w:rsidR="004F40A5">
        <w:rPr>
          <w:rFonts w:ascii="Garamond" w:hAnsi="Garamond"/>
        </w:rPr>
        <w:t xml:space="preserve">s could in core funded CSOs focus on the </w:t>
      </w:r>
      <w:r w:rsidRPr="0006532F">
        <w:rPr>
          <w:rFonts w:ascii="Garamond" w:hAnsi="Garamond"/>
        </w:rPr>
        <w:t>strategic level</w:t>
      </w:r>
      <w:r w:rsidR="004F40A5">
        <w:rPr>
          <w:rFonts w:ascii="Garamond" w:hAnsi="Garamond"/>
        </w:rPr>
        <w:t xml:space="preserve"> of the CSO. </w:t>
      </w:r>
    </w:p>
    <w:p w14:paraId="7591A533"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sidRPr="0006532F">
        <w:rPr>
          <w:rFonts w:ascii="Garamond" w:hAnsi="Garamond"/>
        </w:rPr>
        <w:t>In relation to weaker CSOs</w:t>
      </w:r>
      <w:r w:rsidR="004F40A5">
        <w:rPr>
          <w:rFonts w:ascii="Garamond" w:hAnsi="Garamond"/>
        </w:rPr>
        <w:t>,</w:t>
      </w:r>
      <w:r w:rsidRPr="0006532F">
        <w:rPr>
          <w:rFonts w:ascii="Garamond" w:hAnsi="Garamond"/>
        </w:rPr>
        <w:t xml:space="preserve"> project funding could still be continued. The length of the</w:t>
      </w:r>
      <w:r>
        <w:rPr>
          <w:rFonts w:ascii="Garamond" w:hAnsi="Garamond"/>
        </w:rPr>
        <w:t xml:space="preserve"> </w:t>
      </w:r>
      <w:r w:rsidRPr="0006532F">
        <w:rPr>
          <w:rFonts w:ascii="Garamond" w:hAnsi="Garamond"/>
        </w:rPr>
        <w:t xml:space="preserve">project period could be </w:t>
      </w:r>
      <w:r>
        <w:rPr>
          <w:rFonts w:ascii="Garamond" w:hAnsi="Garamond"/>
        </w:rPr>
        <w:t>flexible</w:t>
      </w:r>
      <w:r w:rsidR="00A46A2A">
        <w:rPr>
          <w:rFonts w:ascii="Garamond" w:hAnsi="Garamond"/>
        </w:rPr>
        <w:t xml:space="preserve"> according to </w:t>
      </w:r>
      <w:r w:rsidRPr="0006532F">
        <w:rPr>
          <w:rFonts w:ascii="Garamond" w:hAnsi="Garamond"/>
        </w:rPr>
        <w:t xml:space="preserve">the </w:t>
      </w:r>
      <w:r>
        <w:rPr>
          <w:rFonts w:ascii="Garamond" w:hAnsi="Garamond"/>
        </w:rPr>
        <w:t>supported activities.</w:t>
      </w:r>
    </w:p>
    <w:p w14:paraId="7591A534"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Pr>
          <w:rFonts w:ascii="Garamond" w:hAnsi="Garamond"/>
        </w:rPr>
        <w:t xml:space="preserve">Support for future projects </w:t>
      </w:r>
      <w:r w:rsidRPr="0006532F">
        <w:rPr>
          <w:rFonts w:ascii="Garamond" w:hAnsi="Garamond"/>
        </w:rPr>
        <w:t>should put more emphasis on managing (member-based) organisations, handling constituency, voluntarism and volunteer policy, NGO governance principles with</w:t>
      </w:r>
      <w:r w:rsidR="00A46A2A">
        <w:rPr>
          <w:rFonts w:ascii="Garamond" w:hAnsi="Garamond"/>
        </w:rPr>
        <w:t>in a</w:t>
      </w:r>
      <w:r w:rsidRPr="0006532F">
        <w:rPr>
          <w:rFonts w:ascii="Garamond" w:hAnsi="Garamond"/>
        </w:rPr>
        <w:t xml:space="preserve">ssembly, </w:t>
      </w:r>
      <w:r w:rsidR="00A46A2A">
        <w:rPr>
          <w:rFonts w:ascii="Garamond" w:hAnsi="Garamond"/>
        </w:rPr>
        <w:t>b</w:t>
      </w:r>
      <w:r w:rsidRPr="0006532F">
        <w:rPr>
          <w:rFonts w:ascii="Garamond" w:hAnsi="Garamond"/>
        </w:rPr>
        <w:t>oard and staff, conflict of interest/procurement, transparency and procurement.</w:t>
      </w:r>
    </w:p>
    <w:p w14:paraId="7591A535"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sidRPr="0006532F">
        <w:rPr>
          <w:rFonts w:ascii="Garamond" w:hAnsi="Garamond"/>
        </w:rPr>
        <w:t xml:space="preserve">As mentioned </w:t>
      </w:r>
      <w:r>
        <w:rPr>
          <w:rFonts w:ascii="Garamond" w:hAnsi="Garamond"/>
        </w:rPr>
        <w:t xml:space="preserve">above, </w:t>
      </w:r>
      <w:r w:rsidRPr="0006532F">
        <w:rPr>
          <w:rFonts w:ascii="Garamond" w:hAnsi="Garamond"/>
        </w:rPr>
        <w:t xml:space="preserve">one of the strengths of the </w:t>
      </w:r>
      <w:r>
        <w:rPr>
          <w:rFonts w:ascii="Garamond" w:hAnsi="Garamond"/>
        </w:rPr>
        <w:t xml:space="preserve">CSDP </w:t>
      </w:r>
      <w:r w:rsidRPr="0006532F">
        <w:rPr>
          <w:rFonts w:ascii="Garamond" w:hAnsi="Garamond"/>
        </w:rPr>
        <w:t>programme is the efficient management</w:t>
      </w:r>
      <w:r w:rsidR="00A46A2A">
        <w:rPr>
          <w:rFonts w:ascii="Garamond" w:hAnsi="Garamond"/>
        </w:rPr>
        <w:t>. H</w:t>
      </w:r>
      <w:r w:rsidRPr="0006532F">
        <w:rPr>
          <w:rFonts w:ascii="Garamond" w:hAnsi="Garamond"/>
        </w:rPr>
        <w:t xml:space="preserve">owever, one could in the future consider more </w:t>
      </w:r>
      <w:r>
        <w:rPr>
          <w:rFonts w:ascii="Garamond" w:hAnsi="Garamond"/>
        </w:rPr>
        <w:t>‘</w:t>
      </w:r>
      <w:r w:rsidR="00A46A2A">
        <w:rPr>
          <w:rFonts w:ascii="Garamond" w:hAnsi="Garamond"/>
        </w:rPr>
        <w:t>l</w:t>
      </w:r>
      <w:r w:rsidRPr="0006532F">
        <w:rPr>
          <w:rFonts w:ascii="Garamond" w:hAnsi="Garamond"/>
        </w:rPr>
        <w:t>ean management</w:t>
      </w:r>
      <w:r>
        <w:rPr>
          <w:rFonts w:ascii="Garamond" w:hAnsi="Garamond"/>
        </w:rPr>
        <w:t>’</w:t>
      </w:r>
      <w:r w:rsidRPr="0006532F">
        <w:rPr>
          <w:rFonts w:ascii="Garamond" w:hAnsi="Garamond"/>
        </w:rPr>
        <w:t xml:space="preserve"> </w:t>
      </w:r>
      <w:r>
        <w:rPr>
          <w:rFonts w:ascii="Garamond" w:hAnsi="Garamond"/>
        </w:rPr>
        <w:t>thinking.</w:t>
      </w:r>
    </w:p>
    <w:p w14:paraId="7591A536"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Pr>
          <w:rFonts w:ascii="Garamond" w:hAnsi="Garamond"/>
        </w:rPr>
        <w:t xml:space="preserve">Future projects could pay more attention to the CSOs fundraising and sustainability strategy, including the promotion of </w:t>
      </w:r>
      <w:r w:rsidRPr="0006532F">
        <w:rPr>
          <w:rFonts w:ascii="Garamond" w:hAnsi="Garamond"/>
        </w:rPr>
        <w:t>local government co-funding</w:t>
      </w:r>
      <w:r>
        <w:rPr>
          <w:rFonts w:ascii="Garamond" w:hAnsi="Garamond"/>
        </w:rPr>
        <w:t xml:space="preserve"> and depend less on staff paid by international donors.</w:t>
      </w:r>
    </w:p>
    <w:p w14:paraId="7591A537" w14:textId="77777777" w:rsidR="00C42D11" w:rsidRPr="0006532F" w:rsidRDefault="00C42D11" w:rsidP="00C42D11">
      <w:pPr>
        <w:pStyle w:val="Listeafsnit1"/>
        <w:numPr>
          <w:ilvl w:val="0"/>
          <w:numId w:val="15"/>
        </w:numPr>
        <w:autoSpaceDE w:val="0"/>
        <w:autoSpaceDN w:val="0"/>
        <w:adjustRightInd w:val="0"/>
        <w:spacing w:after="120"/>
        <w:ind w:left="714" w:hanging="357"/>
        <w:rPr>
          <w:rFonts w:ascii="Garamond" w:hAnsi="Garamond"/>
        </w:rPr>
      </w:pPr>
      <w:r w:rsidRPr="0006532F">
        <w:rPr>
          <w:rFonts w:ascii="Garamond" w:hAnsi="Garamond"/>
        </w:rPr>
        <w:t>Consider</w:t>
      </w:r>
      <w:r w:rsidR="00A46A2A">
        <w:rPr>
          <w:rFonts w:ascii="Garamond" w:hAnsi="Garamond"/>
        </w:rPr>
        <w:t>ations of</w:t>
      </w:r>
      <w:r w:rsidRPr="0006532F">
        <w:rPr>
          <w:rFonts w:ascii="Garamond" w:hAnsi="Garamond"/>
        </w:rPr>
        <w:t xml:space="preserve"> possible links to regional activities </w:t>
      </w:r>
      <w:r>
        <w:rPr>
          <w:rFonts w:ascii="Garamond" w:hAnsi="Garamond"/>
        </w:rPr>
        <w:t xml:space="preserve">with civil society organisations in other countries </w:t>
      </w:r>
      <w:r w:rsidRPr="0006532F">
        <w:rPr>
          <w:rFonts w:ascii="Garamond" w:hAnsi="Garamond"/>
        </w:rPr>
        <w:t xml:space="preserve">supported by </w:t>
      </w:r>
      <w:r>
        <w:rPr>
          <w:rFonts w:ascii="Garamond" w:hAnsi="Garamond"/>
        </w:rPr>
        <w:t xml:space="preserve">the Danish </w:t>
      </w:r>
      <w:r w:rsidRPr="0006532F">
        <w:rPr>
          <w:rFonts w:ascii="Garamond" w:hAnsi="Garamond"/>
        </w:rPr>
        <w:t>Neighbourhood Programme</w:t>
      </w:r>
      <w:r>
        <w:rPr>
          <w:rFonts w:ascii="Garamond" w:hAnsi="Garamond"/>
        </w:rPr>
        <w:t>.</w:t>
      </w:r>
    </w:p>
    <w:p w14:paraId="7591A538" w14:textId="77777777" w:rsidR="004C693F" w:rsidRDefault="004C693F" w:rsidP="00C42D11">
      <w:pPr>
        <w:rPr>
          <w:b/>
        </w:rPr>
      </w:pPr>
    </w:p>
    <w:p w14:paraId="7591A539" w14:textId="77777777" w:rsidR="00B721C9" w:rsidRDefault="00B721C9" w:rsidP="00C42D11">
      <w:pPr>
        <w:rPr>
          <w:b/>
        </w:rPr>
      </w:pPr>
    </w:p>
    <w:p w14:paraId="7591A53A" w14:textId="77777777" w:rsidR="00C42D11" w:rsidRDefault="00C42D11" w:rsidP="00C42D11">
      <w:pPr>
        <w:rPr>
          <w:b/>
          <w:sz w:val="28"/>
          <w:szCs w:val="28"/>
        </w:rPr>
      </w:pPr>
      <w:r w:rsidRPr="002A6FB8">
        <w:rPr>
          <w:b/>
          <w:sz w:val="28"/>
          <w:szCs w:val="28"/>
        </w:rPr>
        <w:t>1</w:t>
      </w:r>
      <w:r>
        <w:rPr>
          <w:b/>
          <w:sz w:val="28"/>
          <w:szCs w:val="28"/>
        </w:rPr>
        <w:t>1</w:t>
      </w:r>
      <w:r w:rsidRPr="002A6FB8">
        <w:rPr>
          <w:b/>
          <w:sz w:val="28"/>
          <w:szCs w:val="28"/>
        </w:rPr>
        <w:t xml:space="preserve">. </w:t>
      </w:r>
      <w:r w:rsidR="0092151E">
        <w:rPr>
          <w:b/>
          <w:sz w:val="28"/>
          <w:szCs w:val="28"/>
        </w:rPr>
        <w:t>Suggestions</w:t>
      </w:r>
      <w:r w:rsidRPr="002A6FB8">
        <w:rPr>
          <w:b/>
          <w:sz w:val="28"/>
          <w:szCs w:val="28"/>
        </w:rPr>
        <w:t xml:space="preserve"> for activities to be undertaken the next nine months</w:t>
      </w:r>
    </w:p>
    <w:p w14:paraId="7591A53B" w14:textId="77777777" w:rsidR="004C693F" w:rsidRPr="002A6FB8" w:rsidRDefault="004C693F" w:rsidP="00C42D11">
      <w:pPr>
        <w:rPr>
          <w:b/>
          <w:sz w:val="28"/>
          <w:szCs w:val="28"/>
        </w:rPr>
      </w:pPr>
    </w:p>
    <w:p w14:paraId="7591A53C" w14:textId="77777777" w:rsidR="00C42D11" w:rsidRDefault="00C42D11" w:rsidP="00C42D11">
      <w:r w:rsidRPr="00383981">
        <w:t>The review has no sp</w:t>
      </w:r>
      <w:r>
        <w:t>e</w:t>
      </w:r>
      <w:r w:rsidRPr="00383981">
        <w:t>c</w:t>
      </w:r>
      <w:r>
        <w:t>i</w:t>
      </w:r>
      <w:r w:rsidRPr="00383981">
        <w:t>fic recommendations for adjustments in the present programme</w:t>
      </w:r>
      <w:r>
        <w:t xml:space="preserve">. The activities in the programme will during the next </w:t>
      </w:r>
      <w:r w:rsidR="00137275">
        <w:t>nine</w:t>
      </w:r>
      <w:r>
        <w:t xml:space="preserve"> months depend on whether the Danish </w:t>
      </w:r>
      <w:r w:rsidR="00137275">
        <w:t>N</w:t>
      </w:r>
      <w:r>
        <w:t xml:space="preserve">eighbourhood </w:t>
      </w:r>
      <w:r w:rsidR="00137275">
        <w:t>P</w:t>
      </w:r>
      <w:r>
        <w:t>rogramme and UNDP agree</w:t>
      </w:r>
      <w:r w:rsidRPr="00383981">
        <w:t xml:space="preserve"> that a ne</w:t>
      </w:r>
      <w:r>
        <w:t>xt</w:t>
      </w:r>
      <w:r w:rsidRPr="00383981">
        <w:t xml:space="preserve"> phase shall be formulated</w:t>
      </w:r>
      <w:r w:rsidR="00137275">
        <w:t>.</w:t>
      </w:r>
    </w:p>
    <w:p w14:paraId="7591A53D" w14:textId="77777777" w:rsidR="00C42D11" w:rsidRPr="00CD6CA7" w:rsidRDefault="00C42D11" w:rsidP="00C42D11"/>
    <w:p w14:paraId="7591A53E" w14:textId="77777777" w:rsidR="00C42D11" w:rsidRDefault="00C42D11" w:rsidP="00C42D11">
      <w:pPr>
        <w:pStyle w:val="Listeafsnit1"/>
        <w:ind w:left="0"/>
        <w:rPr>
          <w:rFonts w:ascii="Garamond" w:hAnsi="Garamond"/>
        </w:rPr>
      </w:pPr>
      <w:r w:rsidRPr="00CD6CA7">
        <w:rPr>
          <w:rFonts w:ascii="Garamond" w:hAnsi="Garamond"/>
        </w:rPr>
        <w:t>The</w:t>
      </w:r>
      <w:r>
        <w:rPr>
          <w:rFonts w:ascii="Garamond" w:hAnsi="Garamond"/>
        </w:rPr>
        <w:t xml:space="preserve"> t</w:t>
      </w:r>
      <w:r w:rsidRPr="00CD6CA7">
        <w:rPr>
          <w:rFonts w:ascii="Garamond" w:hAnsi="Garamond"/>
        </w:rPr>
        <w:t xml:space="preserve">eam has the following </w:t>
      </w:r>
      <w:r w:rsidR="0092151E">
        <w:rPr>
          <w:rFonts w:ascii="Garamond" w:hAnsi="Garamond"/>
        </w:rPr>
        <w:t>suggestions</w:t>
      </w:r>
      <w:r w:rsidRPr="00CD6CA7">
        <w:rPr>
          <w:rFonts w:ascii="Garamond" w:hAnsi="Garamond"/>
        </w:rPr>
        <w:t xml:space="preserve"> for the work to be undertaken in the remaining 9 months of the project period: </w:t>
      </w:r>
    </w:p>
    <w:p w14:paraId="7591A53F" w14:textId="77777777" w:rsidR="00C42D11" w:rsidRDefault="00C42D11" w:rsidP="00C42D11">
      <w:pPr>
        <w:pStyle w:val="Listeafsnit1"/>
        <w:ind w:left="0"/>
        <w:rPr>
          <w:rFonts w:ascii="Garamond" w:hAnsi="Garamond"/>
        </w:rPr>
      </w:pPr>
    </w:p>
    <w:p w14:paraId="7591A540" w14:textId="77777777" w:rsidR="00C42D11" w:rsidRPr="00C42D11" w:rsidRDefault="0092151E" w:rsidP="00C42D11">
      <w:pPr>
        <w:pStyle w:val="Listeafsnit1"/>
        <w:ind w:left="0"/>
        <w:rPr>
          <w:rFonts w:ascii="Garamond" w:hAnsi="Garamond"/>
          <w:b/>
          <w:i/>
        </w:rPr>
      </w:pPr>
      <w:r>
        <w:rPr>
          <w:rFonts w:ascii="Garamond" w:hAnsi="Garamond"/>
          <w:b/>
          <w:i/>
        </w:rPr>
        <w:t>Suggestion</w:t>
      </w:r>
      <w:r w:rsidR="00C42D11" w:rsidRPr="00C42D11">
        <w:rPr>
          <w:rFonts w:ascii="Garamond" w:hAnsi="Garamond"/>
          <w:b/>
          <w:i/>
        </w:rPr>
        <w:t xml:space="preserve"> 1:</w:t>
      </w:r>
    </w:p>
    <w:p w14:paraId="7591A541" w14:textId="77777777" w:rsidR="00C42D11" w:rsidRPr="00CD6CA7" w:rsidRDefault="00C42D11" w:rsidP="00C42D11">
      <w:pPr>
        <w:pStyle w:val="Listeafsnit1"/>
        <w:spacing w:after="120" w:line="276" w:lineRule="auto"/>
        <w:ind w:left="0"/>
        <w:rPr>
          <w:rFonts w:ascii="Garamond" w:hAnsi="Garamond"/>
        </w:rPr>
      </w:pPr>
      <w:r>
        <w:rPr>
          <w:rFonts w:ascii="Garamond" w:hAnsi="Garamond"/>
        </w:rPr>
        <w:t xml:space="preserve">UN </w:t>
      </w:r>
      <w:r w:rsidR="0092151E">
        <w:rPr>
          <w:rFonts w:ascii="Garamond" w:hAnsi="Garamond"/>
        </w:rPr>
        <w:t>is recommended to</w:t>
      </w:r>
      <w:r>
        <w:rPr>
          <w:rFonts w:ascii="Garamond" w:hAnsi="Garamond"/>
        </w:rPr>
        <w:t xml:space="preserve"> facilitate </w:t>
      </w:r>
      <w:r w:rsidRPr="00CD6CA7">
        <w:rPr>
          <w:rFonts w:ascii="Garamond" w:hAnsi="Garamond"/>
        </w:rPr>
        <w:t xml:space="preserve">Ukrainian </w:t>
      </w:r>
      <w:r w:rsidR="00137275">
        <w:rPr>
          <w:rFonts w:ascii="Garamond" w:hAnsi="Garamond"/>
        </w:rPr>
        <w:t xml:space="preserve">CSOs </w:t>
      </w:r>
      <w:r>
        <w:rPr>
          <w:rFonts w:ascii="Garamond" w:hAnsi="Garamond"/>
        </w:rPr>
        <w:t xml:space="preserve">to be </w:t>
      </w:r>
      <w:r w:rsidRPr="00CD6CA7">
        <w:rPr>
          <w:rFonts w:ascii="Garamond" w:hAnsi="Garamond"/>
        </w:rPr>
        <w:t>engaged in the preparation and outcome of the Busan high-level conference</w:t>
      </w:r>
      <w:r>
        <w:rPr>
          <w:rFonts w:ascii="Garamond" w:hAnsi="Garamond"/>
        </w:rPr>
        <w:t xml:space="preserve"> and its results in relation to </w:t>
      </w:r>
      <w:r w:rsidRPr="00CD6CA7">
        <w:rPr>
          <w:rFonts w:ascii="Garamond" w:hAnsi="Garamond"/>
        </w:rPr>
        <w:t xml:space="preserve">the </w:t>
      </w:r>
      <w:r>
        <w:rPr>
          <w:rFonts w:ascii="Garamond" w:hAnsi="Garamond"/>
        </w:rPr>
        <w:t>aid effectiveness agenda with its principles from Paris and Accra (AAA).</w:t>
      </w:r>
    </w:p>
    <w:p w14:paraId="7591A542" w14:textId="77777777" w:rsidR="00C42D11" w:rsidRPr="00C42D11" w:rsidRDefault="00675741" w:rsidP="00C42D11">
      <w:pPr>
        <w:pStyle w:val="Listeafsnit1"/>
        <w:spacing w:after="120" w:line="276" w:lineRule="auto"/>
        <w:ind w:left="0"/>
        <w:rPr>
          <w:rFonts w:ascii="Garamond" w:hAnsi="Garamond"/>
          <w:b/>
          <w:i/>
        </w:rPr>
      </w:pPr>
      <w:r>
        <w:rPr>
          <w:rFonts w:ascii="Garamond" w:hAnsi="Garamond"/>
          <w:b/>
          <w:i/>
        </w:rPr>
        <w:t>Suggestion</w:t>
      </w:r>
      <w:r w:rsidR="00C42D11" w:rsidRPr="00C42D11">
        <w:rPr>
          <w:rFonts w:ascii="Garamond" w:hAnsi="Garamond"/>
          <w:b/>
          <w:i/>
        </w:rPr>
        <w:t xml:space="preserve"> 2:</w:t>
      </w:r>
    </w:p>
    <w:p w14:paraId="7591A543" w14:textId="77777777" w:rsidR="00C42D11" w:rsidRPr="00CD6CA7" w:rsidRDefault="00C42D11" w:rsidP="00C42D11">
      <w:pPr>
        <w:pStyle w:val="Listeafsnit1"/>
        <w:spacing w:after="120" w:line="276" w:lineRule="auto"/>
        <w:ind w:left="0"/>
        <w:rPr>
          <w:rFonts w:ascii="Garamond" w:hAnsi="Garamond"/>
        </w:rPr>
      </w:pPr>
      <w:r w:rsidRPr="00CD6CA7">
        <w:rPr>
          <w:rFonts w:ascii="Garamond" w:hAnsi="Garamond"/>
        </w:rPr>
        <w:t>One or two CSDP team members could benefit from train</w:t>
      </w:r>
      <w:r w:rsidR="00137275">
        <w:rPr>
          <w:rFonts w:ascii="Garamond" w:hAnsi="Garamond"/>
        </w:rPr>
        <w:t>ing</w:t>
      </w:r>
      <w:r w:rsidRPr="00CD6CA7">
        <w:rPr>
          <w:rFonts w:ascii="Garamond" w:hAnsi="Garamond"/>
        </w:rPr>
        <w:t xml:space="preserve"> in </w:t>
      </w:r>
      <w:r w:rsidR="00137275">
        <w:rPr>
          <w:rFonts w:ascii="Garamond" w:hAnsi="Garamond"/>
        </w:rPr>
        <w:t>N</w:t>
      </w:r>
      <w:r w:rsidRPr="00CD6CA7">
        <w:rPr>
          <w:rFonts w:ascii="Garamond" w:hAnsi="Garamond"/>
        </w:rPr>
        <w:t xml:space="preserve">orthern Europe, aiming at obtaining more understanding of trends and methods applied by international NGOs. Furthermore, follow up training could be considered in Kyiv of a wider group of Ukrainian CSOs. </w:t>
      </w:r>
    </w:p>
    <w:p w14:paraId="7591A544" w14:textId="77777777" w:rsidR="00C42D11" w:rsidRPr="00C42D11" w:rsidRDefault="0092151E" w:rsidP="00C42D11">
      <w:pPr>
        <w:pStyle w:val="Listeafsnit1"/>
        <w:ind w:left="0"/>
        <w:rPr>
          <w:rFonts w:ascii="Garamond" w:hAnsi="Garamond"/>
          <w:b/>
          <w:i/>
        </w:rPr>
      </w:pPr>
      <w:r>
        <w:rPr>
          <w:rFonts w:ascii="Garamond" w:hAnsi="Garamond"/>
          <w:b/>
          <w:i/>
        </w:rPr>
        <w:t>Suggestion</w:t>
      </w:r>
      <w:r w:rsidR="00C42D11" w:rsidRPr="00C42D11">
        <w:rPr>
          <w:rFonts w:ascii="Garamond" w:hAnsi="Garamond"/>
          <w:b/>
          <w:i/>
        </w:rPr>
        <w:t xml:space="preserve"> 3:</w:t>
      </w:r>
    </w:p>
    <w:p w14:paraId="7591A545" w14:textId="77777777" w:rsidR="00C42D11" w:rsidRPr="00CD6CA7" w:rsidRDefault="00C42D11" w:rsidP="00C42D11">
      <w:pPr>
        <w:pStyle w:val="Listeafsnit1"/>
        <w:spacing w:after="120" w:line="276" w:lineRule="auto"/>
        <w:ind w:left="0"/>
        <w:rPr>
          <w:rFonts w:ascii="Garamond" w:hAnsi="Garamond"/>
        </w:rPr>
      </w:pPr>
      <w:r w:rsidRPr="00CD6CA7">
        <w:rPr>
          <w:rFonts w:ascii="Garamond" w:hAnsi="Garamond"/>
        </w:rPr>
        <w:t>In the remaining months</w:t>
      </w:r>
      <w:r w:rsidR="0092151E">
        <w:rPr>
          <w:rFonts w:ascii="Garamond" w:hAnsi="Garamond"/>
        </w:rPr>
        <w:t xml:space="preserve"> there should be a </w:t>
      </w:r>
      <w:r w:rsidRPr="00CD6CA7">
        <w:rPr>
          <w:rFonts w:ascii="Garamond" w:hAnsi="Garamond"/>
        </w:rPr>
        <w:t xml:space="preserve">focus on </w:t>
      </w:r>
      <w:r>
        <w:rPr>
          <w:rFonts w:ascii="Garamond" w:hAnsi="Garamond"/>
        </w:rPr>
        <w:t xml:space="preserve">training and exchange of experiences among </w:t>
      </w:r>
      <w:r w:rsidRPr="00CD6CA7">
        <w:rPr>
          <w:rFonts w:ascii="Garamond" w:hAnsi="Garamond"/>
        </w:rPr>
        <w:t xml:space="preserve">the CSOs, including how </w:t>
      </w:r>
      <w:r>
        <w:rPr>
          <w:rFonts w:ascii="Garamond" w:hAnsi="Garamond"/>
        </w:rPr>
        <w:t xml:space="preserve">they could </w:t>
      </w:r>
      <w:r w:rsidRPr="00CD6CA7">
        <w:rPr>
          <w:rFonts w:ascii="Garamond" w:hAnsi="Garamond"/>
        </w:rPr>
        <w:t>increase their attention towards financial and organisational sustainability (including constituency and membership).</w:t>
      </w:r>
    </w:p>
    <w:p w14:paraId="7591A546" w14:textId="77777777" w:rsidR="00C42D11" w:rsidRPr="00CD6CA7" w:rsidRDefault="00C42D11" w:rsidP="00C42D11">
      <w:pPr>
        <w:rPr>
          <w:b/>
        </w:rPr>
      </w:pPr>
    </w:p>
    <w:p w14:paraId="7591A547" w14:textId="77777777" w:rsidR="00C42D11" w:rsidRPr="00C42D11" w:rsidRDefault="00C42D11" w:rsidP="00C42D11">
      <w:pPr>
        <w:pStyle w:val="Listeafsnit1"/>
        <w:spacing w:after="200" w:line="276" w:lineRule="auto"/>
        <w:ind w:left="0"/>
        <w:contextualSpacing/>
        <w:rPr>
          <w:rFonts w:ascii="Garamond" w:hAnsi="Garamond"/>
          <w:b/>
        </w:rPr>
      </w:pPr>
      <w:r w:rsidRPr="00C42D11">
        <w:rPr>
          <w:rFonts w:ascii="Garamond" w:hAnsi="Garamond"/>
          <w:b/>
        </w:rPr>
        <w:lastRenderedPageBreak/>
        <w:t xml:space="preserve">If UNDP and Danish MFA agree in principles to proceed with the next phase, the review team makes the following additional </w:t>
      </w:r>
      <w:r w:rsidR="0092151E">
        <w:rPr>
          <w:rFonts w:ascii="Garamond" w:hAnsi="Garamond"/>
          <w:b/>
        </w:rPr>
        <w:t>suggestion</w:t>
      </w:r>
      <w:r w:rsidRPr="00C42D11">
        <w:rPr>
          <w:rFonts w:ascii="Garamond" w:hAnsi="Garamond"/>
          <w:b/>
        </w:rPr>
        <w:t>s for the remaining 9 months of the current phase:</w:t>
      </w:r>
    </w:p>
    <w:p w14:paraId="7591A548" w14:textId="77777777" w:rsidR="00C42D11" w:rsidRPr="00CD6CA7" w:rsidRDefault="00C42D11" w:rsidP="00C42D11">
      <w:pPr>
        <w:pStyle w:val="Listeafsnit1"/>
        <w:ind w:left="0"/>
        <w:rPr>
          <w:rFonts w:ascii="Garamond" w:hAnsi="Garamond"/>
        </w:rPr>
      </w:pPr>
      <w:r>
        <w:rPr>
          <w:rFonts w:ascii="Garamond" w:hAnsi="Garamond"/>
        </w:rPr>
        <w:t xml:space="preserve"> </w:t>
      </w:r>
      <w:r w:rsidRPr="00CD6CA7">
        <w:rPr>
          <w:rFonts w:ascii="Garamond" w:hAnsi="Garamond"/>
        </w:rPr>
        <w:t xml:space="preserve">   </w:t>
      </w:r>
    </w:p>
    <w:p w14:paraId="7591A549" w14:textId="77777777" w:rsidR="00C42D11" w:rsidRPr="00C42D11" w:rsidRDefault="0092151E" w:rsidP="00C42D11">
      <w:pPr>
        <w:pStyle w:val="Listeafsnit1"/>
        <w:ind w:left="0"/>
        <w:rPr>
          <w:rFonts w:ascii="Garamond" w:hAnsi="Garamond"/>
          <w:b/>
          <w:i/>
        </w:rPr>
      </w:pPr>
      <w:r>
        <w:rPr>
          <w:rFonts w:ascii="Garamond" w:hAnsi="Garamond"/>
          <w:b/>
          <w:i/>
        </w:rPr>
        <w:t>Suggestion</w:t>
      </w:r>
      <w:r w:rsidR="00C42D11" w:rsidRPr="00C42D11">
        <w:rPr>
          <w:rFonts w:ascii="Garamond" w:hAnsi="Garamond"/>
          <w:b/>
          <w:i/>
        </w:rPr>
        <w:t xml:space="preserve"> 4:</w:t>
      </w:r>
    </w:p>
    <w:p w14:paraId="7591A54A" w14:textId="77777777" w:rsidR="00C42D11" w:rsidRDefault="00C42D11" w:rsidP="00C42D11">
      <w:pPr>
        <w:pStyle w:val="Listeafsnit1"/>
        <w:spacing w:after="120" w:line="276" w:lineRule="auto"/>
        <w:ind w:left="0"/>
        <w:rPr>
          <w:rFonts w:ascii="Garamond" w:hAnsi="Garamond"/>
        </w:rPr>
      </w:pPr>
      <w:r w:rsidRPr="00CD6CA7">
        <w:rPr>
          <w:rFonts w:ascii="Garamond" w:hAnsi="Garamond"/>
        </w:rPr>
        <w:t xml:space="preserve">The result of the impact assessment/evaluation will be important </w:t>
      </w:r>
      <w:r>
        <w:rPr>
          <w:rFonts w:ascii="Garamond" w:hAnsi="Garamond"/>
        </w:rPr>
        <w:t xml:space="preserve">for </w:t>
      </w:r>
      <w:r w:rsidRPr="00CD6CA7">
        <w:rPr>
          <w:rFonts w:ascii="Garamond" w:hAnsi="Garamond"/>
        </w:rPr>
        <w:t xml:space="preserve">obtaining </w:t>
      </w:r>
      <w:r>
        <w:rPr>
          <w:rFonts w:ascii="Garamond" w:hAnsi="Garamond"/>
        </w:rPr>
        <w:t>lesson</w:t>
      </w:r>
      <w:r w:rsidR="00137275">
        <w:rPr>
          <w:rFonts w:ascii="Garamond" w:hAnsi="Garamond"/>
        </w:rPr>
        <w:t>s</w:t>
      </w:r>
      <w:r>
        <w:rPr>
          <w:rFonts w:ascii="Garamond" w:hAnsi="Garamond"/>
        </w:rPr>
        <w:t xml:space="preserve"> learned, including impact o</w:t>
      </w:r>
      <w:r w:rsidR="00137275">
        <w:rPr>
          <w:rFonts w:ascii="Garamond" w:hAnsi="Garamond"/>
        </w:rPr>
        <w:t>n</w:t>
      </w:r>
      <w:r>
        <w:rPr>
          <w:rFonts w:ascii="Garamond" w:hAnsi="Garamond"/>
        </w:rPr>
        <w:t xml:space="preserve"> the programmes target groups and which strategies and </w:t>
      </w:r>
      <w:r w:rsidRPr="00CD6CA7">
        <w:rPr>
          <w:rFonts w:ascii="Garamond" w:hAnsi="Garamond"/>
        </w:rPr>
        <w:t xml:space="preserve">activities have achieved the best </w:t>
      </w:r>
      <w:r>
        <w:rPr>
          <w:rFonts w:ascii="Garamond" w:hAnsi="Garamond"/>
        </w:rPr>
        <w:t xml:space="preserve">effects. </w:t>
      </w:r>
      <w:r w:rsidRPr="00CD6CA7">
        <w:rPr>
          <w:rFonts w:ascii="Garamond" w:hAnsi="Garamond"/>
        </w:rPr>
        <w:t>The TOR and the set</w:t>
      </w:r>
      <w:r w:rsidR="002B0A63">
        <w:rPr>
          <w:rFonts w:ascii="Garamond" w:hAnsi="Garamond"/>
        </w:rPr>
        <w:t>-</w:t>
      </w:r>
      <w:r w:rsidRPr="00CD6CA7">
        <w:rPr>
          <w:rFonts w:ascii="Garamond" w:hAnsi="Garamond"/>
        </w:rPr>
        <w:t xml:space="preserve">up of the assessment should be discussed thoroughly with the Neighbourhood </w:t>
      </w:r>
      <w:r w:rsidR="00ED7A75">
        <w:rPr>
          <w:rFonts w:ascii="Garamond" w:hAnsi="Garamond"/>
        </w:rPr>
        <w:t>P</w:t>
      </w:r>
      <w:r w:rsidRPr="00CD6CA7">
        <w:rPr>
          <w:rFonts w:ascii="Garamond" w:hAnsi="Garamond"/>
        </w:rPr>
        <w:t>rogramme.</w:t>
      </w:r>
    </w:p>
    <w:p w14:paraId="7591A54B" w14:textId="77777777" w:rsidR="00C42D11" w:rsidRPr="00C42D11" w:rsidRDefault="0092151E" w:rsidP="00C42D11">
      <w:pPr>
        <w:pStyle w:val="Listeafsnit1"/>
        <w:ind w:left="0"/>
        <w:rPr>
          <w:rFonts w:ascii="Garamond" w:hAnsi="Garamond"/>
          <w:b/>
          <w:i/>
        </w:rPr>
      </w:pPr>
      <w:r>
        <w:rPr>
          <w:rFonts w:ascii="Garamond" w:hAnsi="Garamond"/>
          <w:b/>
          <w:i/>
        </w:rPr>
        <w:t>Suggestion</w:t>
      </w:r>
      <w:r w:rsidR="00C42D11" w:rsidRPr="00C42D11">
        <w:rPr>
          <w:rFonts w:ascii="Garamond" w:hAnsi="Garamond"/>
          <w:b/>
          <w:i/>
        </w:rPr>
        <w:t xml:space="preserve"> 5:</w:t>
      </w:r>
    </w:p>
    <w:p w14:paraId="7591A54C" w14:textId="77777777" w:rsidR="00C42D11" w:rsidRDefault="00C42D11" w:rsidP="00C42D11">
      <w:pPr>
        <w:pStyle w:val="Listeafsnit1"/>
        <w:spacing w:after="120" w:line="276" w:lineRule="auto"/>
        <w:ind w:left="0"/>
        <w:rPr>
          <w:rFonts w:ascii="Garamond" w:hAnsi="Garamond"/>
        </w:rPr>
      </w:pPr>
      <w:r>
        <w:rPr>
          <w:rFonts w:ascii="Garamond" w:hAnsi="Garamond"/>
        </w:rPr>
        <w:t>CSDP s</w:t>
      </w:r>
      <w:r w:rsidRPr="00CD6CA7">
        <w:rPr>
          <w:rFonts w:ascii="Garamond" w:hAnsi="Garamond"/>
        </w:rPr>
        <w:t xml:space="preserve">taff and UNDP </w:t>
      </w:r>
      <w:r>
        <w:rPr>
          <w:rFonts w:ascii="Garamond" w:hAnsi="Garamond"/>
        </w:rPr>
        <w:t>should consider how to address</w:t>
      </w:r>
      <w:r w:rsidRPr="00CD6CA7">
        <w:rPr>
          <w:rFonts w:ascii="Garamond" w:hAnsi="Garamond"/>
        </w:rPr>
        <w:t xml:space="preserve"> </w:t>
      </w:r>
      <w:r w:rsidR="00ED7A75">
        <w:rPr>
          <w:rFonts w:ascii="Garamond" w:hAnsi="Garamond"/>
        </w:rPr>
        <w:t xml:space="preserve">and </w:t>
      </w:r>
      <w:r w:rsidRPr="00CD6CA7">
        <w:rPr>
          <w:rFonts w:ascii="Garamond" w:hAnsi="Garamond"/>
        </w:rPr>
        <w:t>align partnerships, downward accountability plus scalability and replicability.</w:t>
      </w:r>
    </w:p>
    <w:p w14:paraId="7591A54D" w14:textId="77777777" w:rsidR="00C42D11" w:rsidRPr="00C42D11" w:rsidRDefault="0092151E" w:rsidP="00C42D11">
      <w:pPr>
        <w:pStyle w:val="Listeafsnit1"/>
        <w:ind w:left="0"/>
        <w:rPr>
          <w:rFonts w:ascii="Garamond" w:hAnsi="Garamond"/>
          <w:b/>
          <w:i/>
        </w:rPr>
      </w:pPr>
      <w:r>
        <w:rPr>
          <w:rFonts w:ascii="Garamond" w:hAnsi="Garamond"/>
          <w:b/>
          <w:i/>
        </w:rPr>
        <w:t>Suggestion</w:t>
      </w:r>
      <w:r w:rsidR="00C42D11" w:rsidRPr="00C42D11">
        <w:rPr>
          <w:rFonts w:ascii="Garamond" w:hAnsi="Garamond"/>
          <w:b/>
          <w:i/>
        </w:rPr>
        <w:t xml:space="preserve"> 6:</w:t>
      </w:r>
    </w:p>
    <w:p w14:paraId="7591A54E" w14:textId="77777777" w:rsidR="00C42D11" w:rsidRDefault="00C42D11" w:rsidP="00C42D11">
      <w:pPr>
        <w:pStyle w:val="Listeafsnit1"/>
        <w:spacing w:after="120" w:line="276" w:lineRule="auto"/>
        <w:ind w:left="0"/>
        <w:rPr>
          <w:rFonts w:ascii="Garamond" w:hAnsi="Garamond"/>
        </w:rPr>
      </w:pPr>
      <w:r>
        <w:rPr>
          <w:rFonts w:ascii="Garamond" w:hAnsi="Garamond"/>
        </w:rPr>
        <w:t>CSDP s</w:t>
      </w:r>
      <w:r w:rsidRPr="00CD6CA7">
        <w:rPr>
          <w:rFonts w:ascii="Garamond" w:hAnsi="Garamond"/>
        </w:rPr>
        <w:t xml:space="preserve">taff and UNDP shall together work on the modalities for </w:t>
      </w:r>
      <w:r>
        <w:rPr>
          <w:rFonts w:ascii="Garamond" w:hAnsi="Garamond"/>
        </w:rPr>
        <w:t xml:space="preserve">future </w:t>
      </w:r>
      <w:r w:rsidRPr="00CD6CA7">
        <w:rPr>
          <w:rFonts w:ascii="Garamond" w:hAnsi="Garamond"/>
        </w:rPr>
        <w:t>CSO support</w:t>
      </w:r>
      <w:r>
        <w:rPr>
          <w:rFonts w:ascii="Garamond" w:hAnsi="Garamond"/>
        </w:rPr>
        <w:t xml:space="preserve">, including </w:t>
      </w:r>
      <w:r w:rsidRPr="00CD6CA7">
        <w:rPr>
          <w:rFonts w:ascii="Garamond" w:hAnsi="Garamond"/>
        </w:rPr>
        <w:t>core funding</w:t>
      </w:r>
      <w:r>
        <w:rPr>
          <w:rFonts w:ascii="Garamond" w:hAnsi="Garamond"/>
        </w:rPr>
        <w:t xml:space="preserve"> and project support. This should be </w:t>
      </w:r>
      <w:r w:rsidRPr="00CD6CA7">
        <w:rPr>
          <w:rFonts w:ascii="Garamond" w:hAnsi="Garamond"/>
        </w:rPr>
        <w:t xml:space="preserve">combined with a work searching for the </w:t>
      </w:r>
      <w:r>
        <w:rPr>
          <w:rFonts w:ascii="Garamond" w:hAnsi="Garamond"/>
        </w:rPr>
        <w:t xml:space="preserve">optimal </w:t>
      </w:r>
      <w:r w:rsidRPr="00CD6CA7">
        <w:rPr>
          <w:rFonts w:ascii="Garamond" w:hAnsi="Garamond"/>
        </w:rPr>
        <w:t>UNDP modality under which th</w:t>
      </w:r>
      <w:r>
        <w:rPr>
          <w:rFonts w:ascii="Garamond" w:hAnsi="Garamond"/>
        </w:rPr>
        <w:t xml:space="preserve">e next phase </w:t>
      </w:r>
      <w:r w:rsidRPr="00CD6CA7">
        <w:rPr>
          <w:rFonts w:ascii="Garamond" w:hAnsi="Garamond"/>
        </w:rPr>
        <w:t>can be undertaken.</w:t>
      </w:r>
    </w:p>
    <w:p w14:paraId="7591A54F" w14:textId="77777777" w:rsidR="00C42D11" w:rsidRPr="00C42D11" w:rsidRDefault="0092151E" w:rsidP="00C42D11">
      <w:pPr>
        <w:pStyle w:val="Listeafsnit1"/>
        <w:ind w:left="0"/>
        <w:rPr>
          <w:rFonts w:ascii="Garamond" w:hAnsi="Garamond"/>
          <w:b/>
          <w:i/>
        </w:rPr>
      </w:pPr>
      <w:r>
        <w:rPr>
          <w:rFonts w:ascii="Garamond" w:hAnsi="Garamond"/>
          <w:b/>
          <w:i/>
        </w:rPr>
        <w:t>Suggestion</w:t>
      </w:r>
      <w:r w:rsidR="00C42D11" w:rsidRPr="00C42D11">
        <w:rPr>
          <w:rFonts w:ascii="Garamond" w:hAnsi="Garamond"/>
          <w:b/>
          <w:i/>
        </w:rPr>
        <w:t xml:space="preserve"> 7:</w:t>
      </w:r>
    </w:p>
    <w:p w14:paraId="7591A550" w14:textId="77777777" w:rsidR="00C42D11" w:rsidRDefault="00C42D11" w:rsidP="00C42D11">
      <w:pPr>
        <w:pStyle w:val="Listeafsnit1"/>
        <w:spacing w:after="120" w:line="276" w:lineRule="auto"/>
        <w:ind w:left="0"/>
        <w:rPr>
          <w:rFonts w:ascii="Garamond" w:hAnsi="Garamond"/>
        </w:rPr>
      </w:pPr>
      <w:r>
        <w:rPr>
          <w:rFonts w:ascii="Garamond" w:hAnsi="Garamond"/>
        </w:rPr>
        <w:t xml:space="preserve">Undertake </w:t>
      </w:r>
      <w:r w:rsidRPr="00CD6CA7">
        <w:rPr>
          <w:rFonts w:ascii="Garamond" w:hAnsi="Garamond"/>
        </w:rPr>
        <w:t>the formulation of the next phase that could build on the strengths in the current phase (national policy-legal level, outreach to local CSOs, etc.) as well as the previous chapter 1</w:t>
      </w:r>
      <w:r>
        <w:rPr>
          <w:rFonts w:ascii="Garamond" w:hAnsi="Garamond"/>
        </w:rPr>
        <w:t>0</w:t>
      </w:r>
      <w:r w:rsidRPr="00CD6CA7">
        <w:rPr>
          <w:rFonts w:ascii="Garamond" w:hAnsi="Garamond"/>
        </w:rPr>
        <w:t xml:space="preserve"> on ‘Con</w:t>
      </w:r>
      <w:r>
        <w:rPr>
          <w:rFonts w:ascii="Garamond" w:hAnsi="Garamond"/>
        </w:rPr>
        <w:t>siderations on future Support’.</w:t>
      </w:r>
    </w:p>
    <w:p w14:paraId="7591A551" w14:textId="77777777" w:rsidR="00C42D11" w:rsidRPr="00C42D11" w:rsidRDefault="0092151E" w:rsidP="00C42D11">
      <w:pPr>
        <w:pStyle w:val="Listeafsnit1"/>
        <w:ind w:left="0"/>
        <w:rPr>
          <w:rFonts w:ascii="Garamond" w:hAnsi="Garamond"/>
          <w:b/>
          <w:i/>
        </w:rPr>
      </w:pPr>
      <w:r>
        <w:rPr>
          <w:rFonts w:ascii="Garamond" w:hAnsi="Garamond"/>
          <w:b/>
          <w:i/>
        </w:rPr>
        <w:t>Suggestion</w:t>
      </w:r>
      <w:r w:rsidR="00C42D11" w:rsidRPr="00C42D11">
        <w:rPr>
          <w:rFonts w:ascii="Garamond" w:hAnsi="Garamond"/>
          <w:b/>
          <w:i/>
        </w:rPr>
        <w:t xml:space="preserve"> 8: </w:t>
      </w:r>
    </w:p>
    <w:p w14:paraId="7591A552" w14:textId="77777777" w:rsidR="00C42D11" w:rsidRDefault="00C42D11" w:rsidP="00C42D11">
      <w:pPr>
        <w:pStyle w:val="Listeafsnit1"/>
        <w:spacing w:after="120" w:line="276" w:lineRule="auto"/>
        <w:ind w:left="0"/>
        <w:rPr>
          <w:rFonts w:ascii="Garamond" w:hAnsi="Garamond"/>
        </w:rPr>
      </w:pPr>
      <w:r>
        <w:rPr>
          <w:rFonts w:ascii="Garamond" w:hAnsi="Garamond"/>
        </w:rPr>
        <w:t xml:space="preserve">CSDP staff could systematise experiences from this phase regarding CSO activities </w:t>
      </w:r>
      <w:r w:rsidRPr="00CD6CA7">
        <w:rPr>
          <w:rFonts w:ascii="Garamond" w:hAnsi="Garamond"/>
        </w:rPr>
        <w:t>co-funded with local governments</w:t>
      </w:r>
      <w:r>
        <w:rPr>
          <w:rFonts w:ascii="Garamond" w:hAnsi="Garamond"/>
        </w:rPr>
        <w:t xml:space="preserve"> and furthermore, how the next phase can further address domestic fundraising and the reduction of CSOs dependency on foreign aid.</w:t>
      </w:r>
    </w:p>
    <w:p w14:paraId="7591A553" w14:textId="77777777" w:rsidR="00C42D11" w:rsidRPr="00C42D11" w:rsidRDefault="0092151E" w:rsidP="00C42D11">
      <w:pPr>
        <w:pStyle w:val="Listeafsnit1"/>
        <w:ind w:left="0"/>
        <w:rPr>
          <w:rFonts w:ascii="Garamond" w:hAnsi="Garamond"/>
          <w:b/>
          <w:i/>
        </w:rPr>
      </w:pPr>
      <w:r>
        <w:rPr>
          <w:rFonts w:ascii="Garamond" w:hAnsi="Garamond"/>
          <w:b/>
          <w:i/>
        </w:rPr>
        <w:t>Suggestion</w:t>
      </w:r>
      <w:r w:rsidR="00C42D11" w:rsidRPr="00C42D11">
        <w:rPr>
          <w:rFonts w:ascii="Garamond" w:hAnsi="Garamond"/>
          <w:b/>
          <w:i/>
        </w:rPr>
        <w:t xml:space="preserve"> </w:t>
      </w:r>
      <w:r w:rsidR="00C42D11">
        <w:rPr>
          <w:rFonts w:ascii="Garamond" w:hAnsi="Garamond"/>
          <w:b/>
          <w:i/>
        </w:rPr>
        <w:t>9</w:t>
      </w:r>
      <w:r w:rsidR="00C42D11" w:rsidRPr="00C42D11">
        <w:rPr>
          <w:rFonts w:ascii="Garamond" w:hAnsi="Garamond"/>
          <w:b/>
          <w:i/>
        </w:rPr>
        <w:t xml:space="preserve">: </w:t>
      </w:r>
    </w:p>
    <w:p w14:paraId="7591A554" w14:textId="77777777" w:rsidR="00C42D11" w:rsidRPr="00CD6CA7" w:rsidRDefault="00C42D11" w:rsidP="00C42D11">
      <w:pPr>
        <w:pStyle w:val="Listeafsnit1"/>
        <w:spacing w:after="120" w:line="276" w:lineRule="auto"/>
        <w:ind w:left="0"/>
        <w:rPr>
          <w:rFonts w:ascii="Garamond" w:hAnsi="Garamond"/>
        </w:rPr>
      </w:pPr>
      <w:r>
        <w:rPr>
          <w:rFonts w:ascii="Garamond" w:hAnsi="Garamond"/>
        </w:rPr>
        <w:t>Prepare an improved result framework, which include more qualitative aspects of the programme, e.g. on CSOs</w:t>
      </w:r>
      <w:r w:rsidR="00ED7A75">
        <w:rPr>
          <w:rFonts w:ascii="Garamond" w:hAnsi="Garamond"/>
        </w:rPr>
        <w:t>’</w:t>
      </w:r>
      <w:r>
        <w:rPr>
          <w:rFonts w:ascii="Garamond" w:hAnsi="Garamond"/>
        </w:rPr>
        <w:t xml:space="preserve"> organisational capacity, strengthening community based organisations, etc.</w:t>
      </w:r>
    </w:p>
    <w:p w14:paraId="7591A555" w14:textId="77777777" w:rsidR="00C42D11" w:rsidRPr="00C42D11" w:rsidRDefault="0092151E" w:rsidP="00C42D11">
      <w:pPr>
        <w:pStyle w:val="Listeafsnit1"/>
        <w:ind w:left="0"/>
        <w:rPr>
          <w:rFonts w:ascii="Garamond" w:hAnsi="Garamond"/>
          <w:b/>
          <w:i/>
        </w:rPr>
      </w:pPr>
      <w:r>
        <w:rPr>
          <w:rFonts w:ascii="Garamond" w:hAnsi="Garamond"/>
          <w:b/>
          <w:i/>
        </w:rPr>
        <w:t>Suggestion</w:t>
      </w:r>
      <w:r w:rsidR="00C42D11" w:rsidRPr="00C42D11">
        <w:rPr>
          <w:rFonts w:ascii="Garamond" w:hAnsi="Garamond"/>
          <w:b/>
          <w:i/>
        </w:rPr>
        <w:t xml:space="preserve"> </w:t>
      </w:r>
      <w:r w:rsidR="00C42D11">
        <w:rPr>
          <w:rFonts w:ascii="Garamond" w:hAnsi="Garamond"/>
          <w:b/>
          <w:i/>
        </w:rPr>
        <w:t>10</w:t>
      </w:r>
      <w:r w:rsidR="00C42D11" w:rsidRPr="00C42D11">
        <w:rPr>
          <w:rFonts w:ascii="Garamond" w:hAnsi="Garamond"/>
          <w:b/>
          <w:i/>
        </w:rPr>
        <w:t xml:space="preserve">: </w:t>
      </w:r>
    </w:p>
    <w:p w14:paraId="7591A556" w14:textId="77777777" w:rsidR="00C42D11" w:rsidRDefault="00C42D11" w:rsidP="00C42D11">
      <w:pPr>
        <w:pStyle w:val="Listeafsnit1"/>
        <w:spacing w:after="120" w:line="276" w:lineRule="auto"/>
        <w:ind w:left="0"/>
        <w:rPr>
          <w:rFonts w:ascii="Garamond" w:hAnsi="Garamond"/>
        </w:rPr>
      </w:pPr>
      <w:r>
        <w:rPr>
          <w:rFonts w:ascii="Garamond" w:hAnsi="Garamond"/>
        </w:rPr>
        <w:t xml:space="preserve">UNDP could provide ideas for potential regional linkages to </w:t>
      </w:r>
      <w:r w:rsidRPr="00CD6CA7">
        <w:rPr>
          <w:rFonts w:ascii="Garamond" w:hAnsi="Garamond"/>
        </w:rPr>
        <w:t xml:space="preserve">CSO </w:t>
      </w:r>
      <w:r>
        <w:rPr>
          <w:rFonts w:ascii="Garamond" w:hAnsi="Garamond"/>
        </w:rPr>
        <w:t xml:space="preserve">interventions in other countries, </w:t>
      </w:r>
      <w:r w:rsidRPr="00CD6CA7">
        <w:rPr>
          <w:rFonts w:ascii="Garamond" w:hAnsi="Garamond"/>
        </w:rPr>
        <w:t>i.e. Belarus, Moldova and Ukraine</w:t>
      </w:r>
      <w:r>
        <w:rPr>
          <w:rFonts w:ascii="Garamond" w:hAnsi="Garamond"/>
        </w:rPr>
        <w:t>.</w:t>
      </w:r>
    </w:p>
    <w:p w14:paraId="7591A557" w14:textId="77777777" w:rsidR="00F113A4" w:rsidRDefault="00F113A4">
      <w:pPr>
        <w:widowControl/>
        <w:autoSpaceDE/>
        <w:autoSpaceDN/>
        <w:adjustRightInd/>
        <w:spacing w:after="200" w:line="276" w:lineRule="auto"/>
        <w:sectPr w:rsidR="00F113A4" w:rsidSect="003F6C9C">
          <w:pgSz w:w="11906" w:h="16838"/>
          <w:pgMar w:top="1701" w:right="1134" w:bottom="1701" w:left="1134" w:header="708" w:footer="708" w:gutter="0"/>
          <w:pgNumType w:start="1"/>
          <w:cols w:space="708"/>
          <w:docGrid w:linePitch="360"/>
        </w:sectPr>
      </w:pPr>
    </w:p>
    <w:p w14:paraId="7591A558" w14:textId="77777777" w:rsidR="00F113A4" w:rsidRDefault="00F113A4" w:rsidP="00F113A4">
      <w:pPr>
        <w:pStyle w:val="Klassifikation"/>
        <w:jc w:val="left"/>
        <w:rPr>
          <w:rFonts w:ascii="Times New Roman" w:hAnsi="Times New Roman"/>
          <w:b/>
          <w:bCs/>
          <w:caps w:val="0"/>
          <w:szCs w:val="26"/>
        </w:rPr>
      </w:pPr>
      <w:r>
        <w:rPr>
          <w:rFonts w:ascii="Times New Roman" w:hAnsi="Times New Roman"/>
          <w:b/>
          <w:bCs/>
          <w:caps w:val="0"/>
          <w:szCs w:val="26"/>
        </w:rPr>
        <w:lastRenderedPageBreak/>
        <w:t>Annex 1</w:t>
      </w:r>
    </w:p>
    <w:p w14:paraId="7591A559" w14:textId="77777777" w:rsidR="007C53A0" w:rsidRDefault="007C53A0" w:rsidP="007C53A0">
      <w:pPr>
        <w:pStyle w:val="Klassifikation"/>
        <w:jc w:val="right"/>
        <w:rPr>
          <w:rFonts w:ascii="Times New Roman" w:hAnsi="Times New Roman"/>
          <w:b/>
          <w:bCs/>
          <w:caps w:val="0"/>
          <w:szCs w:val="26"/>
        </w:rPr>
      </w:pPr>
      <w:r>
        <w:rPr>
          <w:rFonts w:ascii="Times New Roman" w:hAnsi="Times New Roman"/>
          <w:b/>
          <w:bCs/>
          <w:caps w:val="0"/>
          <w:szCs w:val="26"/>
        </w:rPr>
        <w:t>J.nr. 403.Ukraine.1-13</w:t>
      </w:r>
    </w:p>
    <w:p w14:paraId="7591A55A" w14:textId="77777777" w:rsidR="007C53A0" w:rsidRDefault="007C53A0" w:rsidP="007C53A0">
      <w:pPr>
        <w:pStyle w:val="Klassifikation"/>
        <w:rPr>
          <w:rFonts w:ascii="Times New Roman" w:hAnsi="Times New Roman"/>
          <w:b/>
          <w:bCs/>
          <w:caps w:val="0"/>
          <w:szCs w:val="26"/>
        </w:rPr>
      </w:pPr>
    </w:p>
    <w:p w14:paraId="7591A55B" w14:textId="77777777" w:rsidR="007C53A0" w:rsidRPr="00413C14" w:rsidRDefault="007C53A0" w:rsidP="007C53A0">
      <w:pPr>
        <w:pStyle w:val="Klassifikation"/>
        <w:rPr>
          <w:rFonts w:ascii="Times New Roman" w:hAnsi="Times New Roman"/>
          <w:b/>
          <w:bCs/>
          <w:caps w:val="0"/>
          <w:szCs w:val="26"/>
        </w:rPr>
      </w:pPr>
      <w:r w:rsidRPr="00413C14">
        <w:rPr>
          <w:rFonts w:ascii="Times New Roman" w:hAnsi="Times New Roman"/>
          <w:b/>
          <w:bCs/>
          <w:caps w:val="0"/>
          <w:szCs w:val="26"/>
        </w:rPr>
        <w:t xml:space="preserve">Terms of Reference for Mid-term review </w:t>
      </w:r>
    </w:p>
    <w:p w14:paraId="7591A55C" w14:textId="77777777" w:rsidR="007C53A0" w:rsidRPr="00413C14" w:rsidRDefault="007C53A0" w:rsidP="007C53A0">
      <w:pPr>
        <w:pStyle w:val="Klassifikation"/>
        <w:rPr>
          <w:rFonts w:ascii="Times New Roman" w:hAnsi="Times New Roman"/>
          <w:b/>
          <w:bCs/>
          <w:caps w:val="0"/>
          <w:szCs w:val="26"/>
        </w:rPr>
      </w:pPr>
      <w:r w:rsidRPr="00413C14">
        <w:rPr>
          <w:rFonts w:ascii="Times New Roman" w:hAnsi="Times New Roman"/>
          <w:b/>
          <w:bCs/>
          <w:caps w:val="0"/>
          <w:szCs w:val="26"/>
        </w:rPr>
        <w:t xml:space="preserve">of Danish support to the </w:t>
      </w:r>
    </w:p>
    <w:p w14:paraId="7591A55D" w14:textId="77777777" w:rsidR="007C53A0" w:rsidRPr="00413C14" w:rsidRDefault="007C53A0" w:rsidP="007C53A0">
      <w:pPr>
        <w:pStyle w:val="Klassifikation"/>
        <w:rPr>
          <w:rFonts w:ascii="Times New Roman" w:hAnsi="Times New Roman"/>
          <w:b/>
          <w:bCs/>
          <w:caps w:val="0"/>
          <w:szCs w:val="26"/>
        </w:rPr>
      </w:pPr>
      <w:r w:rsidRPr="00413C14">
        <w:rPr>
          <w:rFonts w:ascii="Times New Roman" w:hAnsi="Times New Roman"/>
          <w:b/>
          <w:bCs/>
          <w:caps w:val="0"/>
          <w:szCs w:val="26"/>
        </w:rPr>
        <w:t xml:space="preserve">Civil Society Development Programme </w:t>
      </w:r>
    </w:p>
    <w:p w14:paraId="7591A55E" w14:textId="77777777" w:rsidR="007C53A0" w:rsidRPr="00413C14" w:rsidRDefault="007C53A0" w:rsidP="007C53A0">
      <w:pPr>
        <w:pStyle w:val="Klassifikation"/>
        <w:rPr>
          <w:rFonts w:ascii="Times New Roman" w:hAnsi="Times New Roman"/>
          <w:b/>
          <w:bCs/>
          <w:caps w:val="0"/>
          <w:szCs w:val="26"/>
        </w:rPr>
      </w:pPr>
      <w:r w:rsidRPr="00413C14">
        <w:rPr>
          <w:rFonts w:ascii="Times New Roman" w:hAnsi="Times New Roman"/>
          <w:b/>
          <w:bCs/>
          <w:caps w:val="0"/>
          <w:szCs w:val="26"/>
        </w:rPr>
        <w:t>in Ukraine</w:t>
      </w:r>
    </w:p>
    <w:p w14:paraId="7591A55F" w14:textId="77777777" w:rsidR="007C53A0" w:rsidRPr="00413C14" w:rsidRDefault="007C53A0" w:rsidP="007C53A0">
      <w:pPr>
        <w:jc w:val="center"/>
        <w:rPr>
          <w:sz w:val="26"/>
          <w:szCs w:val="26"/>
        </w:rPr>
      </w:pPr>
    </w:p>
    <w:p w14:paraId="7591A560" w14:textId="77777777" w:rsidR="007C53A0" w:rsidRPr="00413C14" w:rsidRDefault="007C53A0" w:rsidP="007C53A0">
      <w:pPr>
        <w:jc w:val="center"/>
        <w:rPr>
          <w:sz w:val="26"/>
          <w:szCs w:val="26"/>
        </w:rPr>
      </w:pPr>
    </w:p>
    <w:p w14:paraId="7591A561" w14:textId="77777777" w:rsidR="007C53A0" w:rsidRPr="00413C14" w:rsidRDefault="007C53A0" w:rsidP="007C53A0">
      <w:pPr>
        <w:pStyle w:val="Heading1"/>
        <w:autoSpaceDE/>
        <w:autoSpaceDN/>
        <w:adjustRightInd/>
        <w:rPr>
          <w:sz w:val="26"/>
          <w:szCs w:val="26"/>
        </w:rPr>
      </w:pPr>
      <w:bookmarkStart w:id="1" w:name="_Toc53284116"/>
      <w:r w:rsidRPr="00413C14">
        <w:rPr>
          <w:sz w:val="26"/>
          <w:szCs w:val="26"/>
        </w:rPr>
        <w:t>BACKGROUND</w:t>
      </w:r>
    </w:p>
    <w:p w14:paraId="7591A562" w14:textId="77777777" w:rsidR="007C53A0" w:rsidRPr="00B721C9" w:rsidRDefault="007C53A0" w:rsidP="007C53A0">
      <w:pPr>
        <w:pStyle w:val="BodyText"/>
        <w:spacing w:after="0"/>
      </w:pPr>
      <w:r w:rsidRPr="00B721C9">
        <w:t xml:space="preserve">Well-functioning Civil Society Organisations (CSO´s) play an important role in ensuring proper implementation of political and economic reforms and in developing Ukrainian society in general. Overall, civil society in Ukraine experienced a steady growth over the past years both in terms of numbers of CSO´s and in their capacity. However, CSOs still need to enhance their capacity to monitor and advocate improvement of human rights, transparency and accountability at all levels of public administration, not least at the local level. The international financial crisis which hit Ukraine hard has also to some extent had a negative effect on the further development CSO´s, especially in terms of access to funding. Ukrainian CSO´s are still to a high degree dependent on international support. </w:t>
      </w:r>
    </w:p>
    <w:p w14:paraId="7591A563" w14:textId="77777777" w:rsidR="007C53A0" w:rsidRPr="00B721C9" w:rsidRDefault="007C53A0" w:rsidP="007C53A0">
      <w:pPr>
        <w:pStyle w:val="BodyText"/>
        <w:spacing w:after="0"/>
      </w:pPr>
    </w:p>
    <w:p w14:paraId="7591A564" w14:textId="77777777" w:rsidR="007C53A0" w:rsidRPr="00B721C9" w:rsidRDefault="007C53A0" w:rsidP="007C53A0">
      <w:r w:rsidRPr="00B721C9">
        <w:t xml:space="preserve">The current phase of the Neighbourhood Programme under the Danish Ministry of Foreign Affairs (MFA) has since January 2009 financed the </w:t>
      </w:r>
      <w:r w:rsidRPr="00B721C9">
        <w:rPr>
          <w:i/>
          <w:iCs/>
        </w:rPr>
        <w:t>Civil Society Development Programme in Ukraine</w:t>
      </w:r>
      <w:r w:rsidRPr="00B721C9">
        <w:t>. The Programme has been extended until June 2012 and has a total funding of 20 million DKK.</w:t>
      </w:r>
    </w:p>
    <w:p w14:paraId="7591A565" w14:textId="77777777" w:rsidR="007C53A0" w:rsidRPr="00B721C9" w:rsidRDefault="007C53A0" w:rsidP="007C53A0"/>
    <w:p w14:paraId="7591A566" w14:textId="77777777" w:rsidR="007C53A0" w:rsidRPr="00B721C9" w:rsidRDefault="007C53A0" w:rsidP="007C53A0">
      <w:r w:rsidRPr="00B721C9">
        <w:t>The Civil Society Development Programme (CSDP) aims at a strengthened civil society promoting democratic governance. The CSDP helps the CSO´s to become stronger, diminish their dependency on the donor community, and enhance citizen participation in policy processes by developing the capacity of CSO´s at the regional and local level to effectively address citizens´ needs. The CSDP is implemented by the UNDP Ukraine.</w:t>
      </w:r>
    </w:p>
    <w:p w14:paraId="7591A567" w14:textId="77777777" w:rsidR="007C53A0" w:rsidRPr="00B721C9" w:rsidRDefault="007C53A0" w:rsidP="007C53A0"/>
    <w:p w14:paraId="7591A568" w14:textId="77777777" w:rsidR="007C53A0" w:rsidRPr="00B721C9" w:rsidRDefault="007C53A0" w:rsidP="007C53A0">
      <w:r w:rsidRPr="00B721C9">
        <w:t>The CSDP includes two main components:</w:t>
      </w:r>
    </w:p>
    <w:p w14:paraId="7591A569" w14:textId="77777777" w:rsidR="007C53A0" w:rsidRPr="00B721C9" w:rsidRDefault="007C53A0" w:rsidP="007C53A0"/>
    <w:p w14:paraId="7591A56A" w14:textId="77777777" w:rsidR="007C53A0" w:rsidRPr="00B721C9" w:rsidRDefault="007C53A0" w:rsidP="007C53A0">
      <w:pPr>
        <w:numPr>
          <w:ilvl w:val="0"/>
          <w:numId w:val="5"/>
        </w:numPr>
        <w:autoSpaceDE/>
        <w:autoSpaceDN/>
        <w:adjustRightInd/>
        <w:ind w:left="720"/>
      </w:pPr>
      <w:r w:rsidRPr="00B721C9">
        <w:t>Small grants scheme for CSO´s in seven regions (Chernihiv, Donetsk, Kirovohrad, Kherson, Khmelnytskyi, Lviv, and Luhansk) to provide services to their constituencies and communities aimed at improving the rights and situation of vulnerable groups, promoting human rights and promoting transparency and accountability of regional and local governments;</w:t>
      </w:r>
    </w:p>
    <w:p w14:paraId="7591A56B" w14:textId="77777777" w:rsidR="007C53A0" w:rsidRPr="00B721C9" w:rsidRDefault="007C53A0" w:rsidP="007C53A0">
      <w:pPr>
        <w:ind w:left="720"/>
      </w:pPr>
    </w:p>
    <w:p w14:paraId="7591A56C" w14:textId="77777777" w:rsidR="007C53A0" w:rsidRPr="00B721C9" w:rsidRDefault="007C53A0" w:rsidP="007C53A0">
      <w:pPr>
        <w:numPr>
          <w:ilvl w:val="0"/>
          <w:numId w:val="5"/>
        </w:numPr>
        <w:autoSpaceDE/>
        <w:autoSpaceDN/>
        <w:adjustRightInd/>
        <w:ind w:left="720"/>
      </w:pPr>
      <w:r w:rsidRPr="00B721C9">
        <w:t>Supporting the development of an enabling legal framework for civil society in Ukraine in accordance with recommendations of the Council of Europe.</w:t>
      </w:r>
    </w:p>
    <w:p w14:paraId="7591A56D" w14:textId="77777777" w:rsidR="007C53A0" w:rsidRPr="00B721C9" w:rsidRDefault="007C53A0" w:rsidP="007C53A0">
      <w:pPr>
        <w:pStyle w:val="ListParagraph"/>
      </w:pPr>
    </w:p>
    <w:p w14:paraId="7591A56E" w14:textId="77777777" w:rsidR="007C53A0" w:rsidRPr="00B721C9" w:rsidRDefault="007C53A0" w:rsidP="007C53A0">
      <w:r w:rsidRPr="00B721C9">
        <w:t xml:space="preserve">Additionally, the CSDP helps to strengthen the selected CSO´s capacity through training, CSO networking and experience sharing events, international study tours, as well as expert round table discussions, public awareness, and media events. </w:t>
      </w:r>
    </w:p>
    <w:p w14:paraId="7591A56F" w14:textId="77777777" w:rsidR="007C53A0" w:rsidRPr="00B721C9" w:rsidRDefault="007C53A0" w:rsidP="007C53A0">
      <w:r w:rsidRPr="00B721C9">
        <w:t xml:space="preserve">Prior to the current CSDP programme in 2006 the MFA launched the first phase of the programme with OSCE as implementing partner. The aim of this programme was to assist in the development of sustainable CSO´s within human rights as well as transparency and accountability. Following a review in February 2008 it was decided to continue with a second phase of the programme with a slight </w:t>
      </w:r>
      <w:r w:rsidRPr="00B721C9">
        <w:lastRenderedPageBreak/>
        <w:t xml:space="preserve">refocus to include also support to the on-going process of reforming the legislation that governs civic organisations in Ukraine. The programme management was transferred from OSCE to UNDP. </w:t>
      </w:r>
    </w:p>
    <w:p w14:paraId="7591A570" w14:textId="77777777" w:rsidR="007C53A0" w:rsidRPr="00413C14" w:rsidRDefault="007C53A0" w:rsidP="007C53A0">
      <w:pPr>
        <w:pStyle w:val="Heading1"/>
        <w:autoSpaceDE/>
        <w:autoSpaceDN/>
        <w:adjustRightInd/>
        <w:rPr>
          <w:sz w:val="26"/>
          <w:szCs w:val="26"/>
        </w:rPr>
      </w:pPr>
      <w:r w:rsidRPr="00413C14">
        <w:rPr>
          <w:sz w:val="26"/>
          <w:szCs w:val="26"/>
        </w:rPr>
        <w:t xml:space="preserve">OBJECTIVES </w:t>
      </w:r>
    </w:p>
    <w:bookmarkEnd w:id="1"/>
    <w:p w14:paraId="7591A571" w14:textId="77777777" w:rsidR="007C53A0" w:rsidRPr="00B721C9" w:rsidRDefault="007C53A0" w:rsidP="007C53A0">
      <w:pPr>
        <w:pStyle w:val="ListBulletNoSpace"/>
        <w:numPr>
          <w:ilvl w:val="0"/>
          <w:numId w:val="0"/>
        </w:numPr>
        <w:jc w:val="left"/>
        <w:rPr>
          <w:rFonts w:ascii="Times New Roman" w:hAnsi="Times New Roman"/>
          <w:sz w:val="24"/>
          <w:szCs w:val="24"/>
        </w:rPr>
      </w:pPr>
      <w:r w:rsidRPr="00B721C9">
        <w:rPr>
          <w:rFonts w:ascii="Times New Roman" w:hAnsi="Times New Roman"/>
          <w:sz w:val="24"/>
          <w:szCs w:val="24"/>
        </w:rPr>
        <w:t>The overall objective of the review is a documentation of progress as well as possible adjustments if deemed necessary in light of possible changes in context. The results of the review will be considered as one input into the considerations regarding possible future activities in the field of civil society development.</w:t>
      </w:r>
    </w:p>
    <w:p w14:paraId="7591A572" w14:textId="77777777" w:rsidR="007C53A0" w:rsidRPr="00B721C9" w:rsidRDefault="007C53A0" w:rsidP="007C53A0">
      <w:pPr>
        <w:pStyle w:val="BodyText"/>
        <w:spacing w:line="280" w:lineRule="exact"/>
      </w:pPr>
    </w:p>
    <w:p w14:paraId="7591A573" w14:textId="77777777" w:rsidR="007C53A0" w:rsidRPr="00B721C9" w:rsidRDefault="007C53A0" w:rsidP="007C53A0">
      <w:pPr>
        <w:pStyle w:val="BodyText"/>
        <w:spacing w:line="280" w:lineRule="exact"/>
      </w:pPr>
      <w:r w:rsidRPr="00B721C9">
        <w:t>The aims of the review are to:</w:t>
      </w:r>
    </w:p>
    <w:p w14:paraId="7591A574" w14:textId="77777777" w:rsidR="007C53A0" w:rsidRPr="00B721C9" w:rsidRDefault="007C53A0" w:rsidP="007C53A0">
      <w:pPr>
        <w:pStyle w:val="BodyText"/>
        <w:numPr>
          <w:ilvl w:val="0"/>
          <w:numId w:val="4"/>
        </w:numPr>
        <w:autoSpaceDE/>
        <w:autoSpaceDN/>
        <w:adjustRightInd/>
        <w:spacing w:line="280" w:lineRule="exact"/>
        <w:rPr>
          <w:i/>
        </w:rPr>
      </w:pPr>
      <w:r w:rsidRPr="00B721C9">
        <w:t>Assess, and where appropriate, recommend adjustments to the strategy applied by the programme.</w:t>
      </w:r>
    </w:p>
    <w:p w14:paraId="7591A575" w14:textId="77777777" w:rsidR="007C53A0" w:rsidRPr="00B721C9" w:rsidRDefault="007C53A0" w:rsidP="007C53A0">
      <w:pPr>
        <w:pStyle w:val="BodyText"/>
        <w:numPr>
          <w:ilvl w:val="0"/>
          <w:numId w:val="4"/>
        </w:numPr>
        <w:autoSpaceDE/>
        <w:autoSpaceDN/>
        <w:adjustRightInd/>
        <w:spacing w:line="280" w:lineRule="exact"/>
        <w:rPr>
          <w:i/>
        </w:rPr>
      </w:pPr>
      <w:r w:rsidRPr="00B721C9">
        <w:t>Assess the continued relevance of its management structure, financial systems and reporting arrangements.</w:t>
      </w:r>
    </w:p>
    <w:p w14:paraId="7591A576" w14:textId="77777777" w:rsidR="007C53A0" w:rsidRPr="00B721C9" w:rsidRDefault="007C53A0" w:rsidP="007C53A0">
      <w:pPr>
        <w:pStyle w:val="BodyText"/>
        <w:numPr>
          <w:ilvl w:val="0"/>
          <w:numId w:val="4"/>
        </w:numPr>
        <w:autoSpaceDE/>
        <w:autoSpaceDN/>
        <w:adjustRightInd/>
        <w:spacing w:line="280" w:lineRule="exact"/>
        <w:rPr>
          <w:i/>
        </w:rPr>
      </w:pPr>
      <w:r w:rsidRPr="00B721C9">
        <w:t>Assess the results achieved so far by the programme in terms of impact and outcome.</w:t>
      </w:r>
    </w:p>
    <w:p w14:paraId="7591A577" w14:textId="77777777" w:rsidR="007C53A0" w:rsidRPr="00B721C9" w:rsidRDefault="007C53A0" w:rsidP="007C53A0">
      <w:pPr>
        <w:pStyle w:val="BodyText"/>
        <w:numPr>
          <w:ilvl w:val="0"/>
          <w:numId w:val="4"/>
        </w:numPr>
        <w:autoSpaceDE/>
        <w:autoSpaceDN/>
        <w:adjustRightInd/>
        <w:spacing w:line="280" w:lineRule="exact"/>
        <w:rPr>
          <w:i/>
        </w:rPr>
      </w:pPr>
      <w:r w:rsidRPr="00B721C9">
        <w:t xml:space="preserve">Assess trends in the development of civil society and in the overall response to civil society in Ukraine in order to set out strategic directions of possible future activities in the field.  </w:t>
      </w:r>
    </w:p>
    <w:p w14:paraId="7591A578" w14:textId="77777777" w:rsidR="007C53A0" w:rsidRPr="00B721C9" w:rsidRDefault="007C53A0" w:rsidP="007C53A0">
      <w:pPr>
        <w:pStyle w:val="BodyText"/>
        <w:numPr>
          <w:ilvl w:val="0"/>
          <w:numId w:val="4"/>
        </w:numPr>
        <w:autoSpaceDE/>
        <w:autoSpaceDN/>
        <w:adjustRightInd/>
        <w:spacing w:line="280" w:lineRule="exact"/>
        <w:rPr>
          <w:i/>
        </w:rPr>
      </w:pPr>
      <w:r w:rsidRPr="00B721C9">
        <w:t>Assess possibilities of incorporating activities in a possible future regional programme.</w:t>
      </w:r>
    </w:p>
    <w:p w14:paraId="7591A579" w14:textId="77777777" w:rsidR="007C53A0" w:rsidRPr="00413C14" w:rsidRDefault="007C53A0" w:rsidP="007C53A0">
      <w:pPr>
        <w:pStyle w:val="BodyText"/>
        <w:spacing w:line="280" w:lineRule="exact"/>
        <w:ind w:left="720"/>
        <w:rPr>
          <w:i/>
          <w:sz w:val="26"/>
          <w:szCs w:val="26"/>
        </w:rPr>
      </w:pPr>
    </w:p>
    <w:p w14:paraId="7591A57A" w14:textId="77777777" w:rsidR="007C53A0" w:rsidRPr="00413C14" w:rsidRDefault="007C53A0" w:rsidP="007C53A0">
      <w:pPr>
        <w:pStyle w:val="BodyText"/>
        <w:spacing w:line="280" w:lineRule="exact"/>
        <w:rPr>
          <w:b/>
          <w:bCs/>
          <w:color w:val="000000"/>
          <w:sz w:val="26"/>
          <w:szCs w:val="26"/>
        </w:rPr>
      </w:pPr>
      <w:r w:rsidRPr="00413C14">
        <w:rPr>
          <w:i/>
          <w:sz w:val="26"/>
          <w:szCs w:val="26"/>
        </w:rPr>
        <w:t xml:space="preserve"> </w:t>
      </w:r>
      <w:r w:rsidRPr="00413C14">
        <w:rPr>
          <w:b/>
          <w:bCs/>
          <w:color w:val="000000"/>
          <w:sz w:val="26"/>
          <w:szCs w:val="26"/>
        </w:rPr>
        <w:t xml:space="preserve">3. </w:t>
      </w:r>
      <w:r w:rsidRPr="00413C14">
        <w:rPr>
          <w:b/>
          <w:bCs/>
          <w:color w:val="000000"/>
          <w:sz w:val="26"/>
          <w:szCs w:val="26"/>
        </w:rPr>
        <w:tab/>
        <w:t>OUTPUTS</w:t>
      </w:r>
    </w:p>
    <w:p w14:paraId="7591A57B" w14:textId="77777777" w:rsidR="007C53A0" w:rsidRPr="00B721C9" w:rsidRDefault="007C53A0" w:rsidP="007C53A0">
      <w:pPr>
        <w:pStyle w:val="BodyTextIndent3"/>
        <w:numPr>
          <w:ilvl w:val="0"/>
          <w:numId w:val="3"/>
        </w:numPr>
        <w:adjustRightInd/>
        <w:rPr>
          <w:color w:val="000000"/>
          <w:szCs w:val="24"/>
          <w:lang w:val="en-GB"/>
        </w:rPr>
      </w:pPr>
      <w:r w:rsidRPr="00B721C9">
        <w:rPr>
          <w:color w:val="000000"/>
          <w:szCs w:val="24"/>
          <w:lang w:val="en-GB"/>
        </w:rPr>
        <w:t>Review Aide Memoire (RAM) of 10-15 pages describing the review team´s findings and recommendations. A Process Action Plan (PAP) will be attached to the report, as appropriate.</w:t>
      </w:r>
    </w:p>
    <w:p w14:paraId="7591A57C" w14:textId="77777777" w:rsidR="007C53A0" w:rsidRPr="00B721C9" w:rsidRDefault="007C53A0" w:rsidP="007C53A0">
      <w:pPr>
        <w:rPr>
          <w:color w:val="000000"/>
        </w:rPr>
      </w:pPr>
    </w:p>
    <w:p w14:paraId="7591A57D" w14:textId="77777777" w:rsidR="007C53A0" w:rsidRPr="00B721C9" w:rsidRDefault="007C53A0" w:rsidP="007C53A0">
      <w:pPr>
        <w:rPr>
          <w:color w:val="000000"/>
        </w:rPr>
      </w:pPr>
      <w:r w:rsidRPr="00B721C9">
        <w:rPr>
          <w:rStyle w:val="TypografiGaramond"/>
          <w:rFonts w:ascii="Times New Roman" w:hAnsi="Times New Roman"/>
          <w:sz w:val="24"/>
        </w:rPr>
        <w:t>All documents will follow DANIDA’s Aid Management Guidelines.</w:t>
      </w:r>
    </w:p>
    <w:p w14:paraId="7591A57E" w14:textId="77777777" w:rsidR="007C53A0" w:rsidRPr="00413C14" w:rsidRDefault="007C53A0" w:rsidP="007C53A0">
      <w:pPr>
        <w:rPr>
          <w:color w:val="000000"/>
          <w:sz w:val="26"/>
          <w:szCs w:val="26"/>
        </w:rPr>
      </w:pPr>
    </w:p>
    <w:p w14:paraId="7591A57F" w14:textId="77777777" w:rsidR="007C53A0" w:rsidRPr="00413C14" w:rsidRDefault="007C53A0" w:rsidP="007C53A0">
      <w:pPr>
        <w:pStyle w:val="Heading2"/>
        <w:widowControl/>
        <w:numPr>
          <w:ilvl w:val="0"/>
          <w:numId w:val="30"/>
        </w:numPr>
        <w:tabs>
          <w:tab w:val="clear" w:pos="360"/>
          <w:tab w:val="num" w:pos="-1276"/>
        </w:tabs>
        <w:autoSpaceDE/>
        <w:autoSpaceDN/>
        <w:adjustRightInd/>
        <w:spacing w:before="0" w:after="60"/>
        <w:ind w:left="0" w:firstLine="0"/>
        <w:rPr>
          <w:bCs/>
          <w:color w:val="000000"/>
          <w:sz w:val="26"/>
          <w:szCs w:val="26"/>
        </w:rPr>
      </w:pPr>
      <w:r w:rsidRPr="00413C14">
        <w:rPr>
          <w:bCs/>
          <w:color w:val="000000"/>
          <w:sz w:val="26"/>
          <w:szCs w:val="26"/>
        </w:rPr>
        <w:t>SCOPE OF WORK</w:t>
      </w:r>
    </w:p>
    <w:p w14:paraId="7591A580" w14:textId="77777777" w:rsidR="007C53A0" w:rsidRPr="00413C14" w:rsidRDefault="007C53A0" w:rsidP="007C53A0">
      <w:pPr>
        <w:widowControl/>
        <w:rPr>
          <w:color w:val="000000"/>
          <w:sz w:val="26"/>
          <w:szCs w:val="26"/>
        </w:rPr>
      </w:pPr>
    </w:p>
    <w:p w14:paraId="7591A581" w14:textId="77777777" w:rsidR="007C53A0" w:rsidRPr="00B721C9" w:rsidRDefault="007C53A0" w:rsidP="007C53A0">
      <w:pPr>
        <w:widowControl/>
        <w:rPr>
          <w:color w:val="000000"/>
        </w:rPr>
      </w:pPr>
      <w:r w:rsidRPr="00B721C9">
        <w:rPr>
          <w:color w:val="000000"/>
        </w:rPr>
        <w:t>The team will review the implementation and progress as well as the organisational set-up of the programme. Based on desk review of relevant documentation, meetings with resource persons in Copenhagen, field visits and meetings the review shall include, but not necessarily be limited to, assessment of the following aspects:</w:t>
      </w:r>
    </w:p>
    <w:p w14:paraId="7591A582" w14:textId="77777777" w:rsidR="007C53A0" w:rsidRPr="00B721C9" w:rsidRDefault="007C53A0" w:rsidP="007C53A0">
      <w:pPr>
        <w:widowControl/>
        <w:rPr>
          <w:color w:val="000000"/>
        </w:rPr>
      </w:pPr>
    </w:p>
    <w:p w14:paraId="7591A583"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 xml:space="preserve">Context developments of relevance to the programme in particular trends in development of civil society, including the role of CSO´s, public and political awareness of CSO´s, cooperation with national and regional authorities, and the legal framework. </w:t>
      </w:r>
    </w:p>
    <w:p w14:paraId="7591A584" w14:textId="77777777" w:rsidR="007C53A0" w:rsidRPr="00B721C9" w:rsidRDefault="007C53A0" w:rsidP="007C53A0">
      <w:pPr>
        <w:pStyle w:val="ListBullet2"/>
        <w:widowControl/>
        <w:numPr>
          <w:ilvl w:val="0"/>
          <w:numId w:val="0"/>
        </w:numPr>
        <w:ind w:left="720"/>
        <w:jc w:val="both"/>
        <w:rPr>
          <w:color w:val="000000"/>
        </w:rPr>
      </w:pPr>
    </w:p>
    <w:p w14:paraId="7591A585"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 xml:space="preserve">Progress in terms of programme outcomes and achievements of major outputs, assessed against the indicators set out in the programme document. </w:t>
      </w:r>
    </w:p>
    <w:p w14:paraId="7591A586" w14:textId="77777777" w:rsidR="007C53A0" w:rsidRPr="00B721C9" w:rsidRDefault="007C53A0" w:rsidP="007C53A0">
      <w:pPr>
        <w:pStyle w:val="ListParagraph"/>
        <w:rPr>
          <w:color w:val="000000"/>
        </w:rPr>
      </w:pPr>
    </w:p>
    <w:p w14:paraId="7591A587"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The strategy applied by the programme, including exit strategies and sustainability consideration.</w:t>
      </w:r>
    </w:p>
    <w:p w14:paraId="7591A588" w14:textId="77777777" w:rsidR="007C53A0" w:rsidRPr="00B721C9" w:rsidRDefault="007C53A0" w:rsidP="007C53A0">
      <w:pPr>
        <w:pStyle w:val="ListParagraph"/>
        <w:rPr>
          <w:color w:val="000000"/>
        </w:rPr>
      </w:pPr>
    </w:p>
    <w:p w14:paraId="7591A589"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lastRenderedPageBreak/>
        <w:t>The management structure of the programme, including the capacity of UNDP Kiev to manage and implement the programme.</w:t>
      </w:r>
    </w:p>
    <w:p w14:paraId="7591A58A" w14:textId="77777777" w:rsidR="007C53A0" w:rsidRPr="00B721C9" w:rsidRDefault="007C53A0" w:rsidP="007C53A0">
      <w:pPr>
        <w:pStyle w:val="ListParagraph"/>
        <w:rPr>
          <w:snapToGrid w:val="0"/>
          <w:color w:val="000000"/>
          <w:lang w:eastAsia="en-US"/>
        </w:rPr>
      </w:pPr>
    </w:p>
    <w:p w14:paraId="7591A58B"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Cooperation with Implementing Partners (Counterpart Creative Centre (CCC), ISAR “Ednannia”).</w:t>
      </w:r>
    </w:p>
    <w:p w14:paraId="7591A58C" w14:textId="77777777" w:rsidR="007C53A0" w:rsidRPr="00B721C9" w:rsidRDefault="007C53A0" w:rsidP="007C53A0">
      <w:pPr>
        <w:pStyle w:val="ListParagraph"/>
        <w:rPr>
          <w:color w:val="000000"/>
        </w:rPr>
      </w:pPr>
    </w:p>
    <w:p w14:paraId="7591A58D"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The regional strength of the programme.</w:t>
      </w:r>
    </w:p>
    <w:p w14:paraId="7591A58E" w14:textId="77777777" w:rsidR="007C53A0" w:rsidRPr="00B721C9" w:rsidRDefault="007C53A0" w:rsidP="007C53A0">
      <w:pPr>
        <w:pStyle w:val="ListParagraph"/>
        <w:rPr>
          <w:color w:val="000000"/>
        </w:rPr>
      </w:pPr>
    </w:p>
    <w:p w14:paraId="7591A58F"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Cooperation with legal experts (Ukrainian Center for Independent Political Research).</w:t>
      </w:r>
    </w:p>
    <w:p w14:paraId="7591A590" w14:textId="77777777" w:rsidR="007C53A0" w:rsidRPr="00B721C9" w:rsidRDefault="007C53A0" w:rsidP="007C53A0">
      <w:pPr>
        <w:pStyle w:val="ListParagraph"/>
        <w:rPr>
          <w:color w:val="000000"/>
        </w:rPr>
      </w:pPr>
    </w:p>
    <w:p w14:paraId="7591A591"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 xml:space="preserve">Cooperation with the international partner, Danish Institute for Human Rights (DIHR). </w:t>
      </w:r>
    </w:p>
    <w:p w14:paraId="7591A592" w14:textId="77777777" w:rsidR="007C53A0" w:rsidRPr="00B721C9" w:rsidRDefault="007C53A0" w:rsidP="007C53A0">
      <w:pPr>
        <w:pStyle w:val="ListParagraph"/>
        <w:rPr>
          <w:color w:val="000000"/>
        </w:rPr>
      </w:pPr>
    </w:p>
    <w:p w14:paraId="7591A593"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The monitoring of the programme including the quality of the input available to the Programme Board (work plans, budgets, progress reports, etc.).</w:t>
      </w:r>
    </w:p>
    <w:p w14:paraId="7591A594" w14:textId="77777777" w:rsidR="007C53A0" w:rsidRPr="00B721C9" w:rsidRDefault="007C53A0" w:rsidP="007C53A0">
      <w:pPr>
        <w:pStyle w:val="ListParagraph"/>
        <w:rPr>
          <w:snapToGrid w:val="0"/>
          <w:color w:val="000000"/>
          <w:lang w:eastAsia="en-US"/>
        </w:rPr>
      </w:pPr>
    </w:p>
    <w:p w14:paraId="7591A595"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The disbursements and expenditure and relationship between physical and financial progress of the programme (i.e. correlation between performance and allocated funds).</w:t>
      </w:r>
    </w:p>
    <w:p w14:paraId="7591A596" w14:textId="77777777" w:rsidR="007C53A0" w:rsidRPr="00B721C9" w:rsidRDefault="007C53A0" w:rsidP="007C53A0">
      <w:pPr>
        <w:pStyle w:val="ListBullet2"/>
        <w:numPr>
          <w:ilvl w:val="0"/>
          <w:numId w:val="0"/>
        </w:numPr>
        <w:ind w:left="720"/>
        <w:rPr>
          <w:color w:val="000000"/>
        </w:rPr>
      </w:pPr>
    </w:p>
    <w:p w14:paraId="7591A597"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 xml:space="preserve"> The donor coordination and mapping in the sphere of civil society development.</w:t>
      </w:r>
    </w:p>
    <w:p w14:paraId="7591A598" w14:textId="77777777" w:rsidR="007C53A0" w:rsidRPr="00B721C9" w:rsidRDefault="007C53A0" w:rsidP="007C53A0">
      <w:pPr>
        <w:pStyle w:val="ListParagraph"/>
        <w:rPr>
          <w:snapToGrid w:val="0"/>
          <w:color w:val="000000"/>
          <w:lang w:eastAsia="en-US"/>
        </w:rPr>
      </w:pPr>
    </w:p>
    <w:p w14:paraId="7591A599"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The visibility of the programme (i.e. the visibility of the Danish donor).</w:t>
      </w:r>
    </w:p>
    <w:p w14:paraId="7591A59A" w14:textId="77777777" w:rsidR="007C53A0" w:rsidRPr="00B721C9" w:rsidRDefault="007C53A0" w:rsidP="007C53A0">
      <w:pPr>
        <w:pStyle w:val="ListBullet2"/>
        <w:numPr>
          <w:ilvl w:val="0"/>
          <w:numId w:val="0"/>
        </w:numPr>
        <w:ind w:left="720"/>
        <w:rPr>
          <w:color w:val="000000"/>
        </w:rPr>
      </w:pPr>
    </w:p>
    <w:p w14:paraId="7591A59B"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Crosscutting issues, in particular human rights and gender equality, as well as HIV/AIDS and other relevant priority themes.</w:t>
      </w:r>
    </w:p>
    <w:p w14:paraId="7591A59C" w14:textId="77777777" w:rsidR="007C53A0" w:rsidRPr="00B721C9" w:rsidRDefault="007C53A0" w:rsidP="007C53A0">
      <w:pPr>
        <w:pStyle w:val="ListParagraph"/>
        <w:rPr>
          <w:snapToGrid w:val="0"/>
          <w:color w:val="000000"/>
          <w:lang w:eastAsia="en-US"/>
        </w:rPr>
      </w:pPr>
    </w:p>
    <w:p w14:paraId="7591A59D"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 xml:space="preserve">The financial management of the programme including the auditing of the programme. </w:t>
      </w:r>
    </w:p>
    <w:p w14:paraId="7591A59E" w14:textId="77777777" w:rsidR="007C53A0" w:rsidRPr="00B721C9" w:rsidRDefault="007C53A0" w:rsidP="007C53A0">
      <w:pPr>
        <w:pStyle w:val="ListParagraph"/>
        <w:rPr>
          <w:color w:val="000000"/>
        </w:rPr>
      </w:pPr>
    </w:p>
    <w:p w14:paraId="7591A59F" w14:textId="77777777" w:rsidR="007C53A0" w:rsidRPr="00B721C9" w:rsidRDefault="007C53A0" w:rsidP="007C53A0">
      <w:pPr>
        <w:pStyle w:val="ListBullet2"/>
        <w:widowControl/>
        <w:tabs>
          <w:tab w:val="clear" w:pos="643"/>
          <w:tab w:val="num" w:pos="720"/>
        </w:tabs>
        <w:autoSpaceDE/>
        <w:autoSpaceDN/>
        <w:adjustRightInd/>
        <w:ind w:left="720"/>
        <w:contextualSpacing w:val="0"/>
        <w:jc w:val="both"/>
        <w:rPr>
          <w:color w:val="000000"/>
        </w:rPr>
      </w:pPr>
      <w:r w:rsidRPr="00B721C9">
        <w:rPr>
          <w:color w:val="000000"/>
        </w:rPr>
        <w:t>Future Activities</w:t>
      </w:r>
    </w:p>
    <w:p w14:paraId="7591A5A0" w14:textId="77777777" w:rsidR="007C53A0" w:rsidRPr="00413C14" w:rsidRDefault="007C53A0" w:rsidP="007C53A0">
      <w:pPr>
        <w:rPr>
          <w:b/>
          <w:bCs/>
          <w:color w:val="000000"/>
          <w:sz w:val="26"/>
          <w:szCs w:val="26"/>
        </w:rPr>
      </w:pPr>
      <w:r w:rsidRPr="00413C14">
        <w:rPr>
          <w:color w:val="000000"/>
          <w:sz w:val="26"/>
          <w:szCs w:val="26"/>
        </w:rPr>
        <w:br/>
      </w:r>
    </w:p>
    <w:p w14:paraId="7591A5A1" w14:textId="77777777" w:rsidR="007C53A0" w:rsidRPr="00413C14" w:rsidRDefault="007C53A0" w:rsidP="007C53A0">
      <w:pPr>
        <w:widowControl/>
        <w:numPr>
          <w:ilvl w:val="0"/>
          <w:numId w:val="30"/>
        </w:numPr>
        <w:autoSpaceDE/>
        <w:autoSpaceDN/>
        <w:adjustRightInd/>
        <w:rPr>
          <w:b/>
          <w:bCs/>
          <w:color w:val="000000"/>
          <w:sz w:val="26"/>
          <w:szCs w:val="26"/>
        </w:rPr>
      </w:pPr>
      <w:r w:rsidRPr="00413C14">
        <w:rPr>
          <w:b/>
          <w:bCs/>
          <w:color w:val="000000"/>
          <w:sz w:val="26"/>
          <w:szCs w:val="26"/>
        </w:rPr>
        <w:t xml:space="preserve">METHOD OF WORK </w:t>
      </w:r>
    </w:p>
    <w:p w14:paraId="7591A5A2" w14:textId="77777777" w:rsidR="007C53A0" w:rsidRPr="00413C14" w:rsidRDefault="007C53A0" w:rsidP="007C53A0">
      <w:pPr>
        <w:widowControl/>
        <w:rPr>
          <w:b/>
          <w:bCs/>
          <w:color w:val="000000"/>
          <w:sz w:val="26"/>
          <w:szCs w:val="26"/>
        </w:rPr>
      </w:pPr>
    </w:p>
    <w:p w14:paraId="7591A5A3" w14:textId="77777777" w:rsidR="007C53A0" w:rsidRPr="00B721C9" w:rsidRDefault="007C53A0" w:rsidP="007C53A0">
      <w:pPr>
        <w:widowControl/>
        <w:rPr>
          <w:bCs/>
          <w:color w:val="000000"/>
        </w:rPr>
      </w:pPr>
      <w:r w:rsidRPr="00B721C9">
        <w:rPr>
          <w:bCs/>
          <w:color w:val="000000"/>
        </w:rPr>
        <w:t>The review team will begin with consultations in Copenhagen with the MFA, the Danish Institute for Human Rights and with other resource persons in Copenhagen. The mission will present a Mission Preparation Note outlining the main issues and the proposed approach to the review to the MFA. UNDP in Kiev will be given the responsibility to organise the programme of the mission. Besides meetings with the implementing partners, the team should also meet with government counterparts and other key stakeholders such as SIDA, USAID, EU and OSCE.</w:t>
      </w:r>
    </w:p>
    <w:p w14:paraId="7591A5A4" w14:textId="77777777" w:rsidR="007C53A0" w:rsidRPr="00B721C9" w:rsidRDefault="007C53A0" w:rsidP="007C53A0">
      <w:pPr>
        <w:widowControl/>
        <w:rPr>
          <w:bCs/>
          <w:color w:val="000000"/>
        </w:rPr>
      </w:pPr>
    </w:p>
    <w:p w14:paraId="7591A5A5" w14:textId="77777777" w:rsidR="007C53A0" w:rsidRPr="00B721C9" w:rsidRDefault="007C53A0" w:rsidP="007C53A0">
      <w:pPr>
        <w:widowControl/>
        <w:rPr>
          <w:bCs/>
          <w:color w:val="000000"/>
        </w:rPr>
      </w:pPr>
      <w:r w:rsidRPr="00B721C9">
        <w:rPr>
          <w:bCs/>
          <w:color w:val="000000"/>
        </w:rPr>
        <w:t>The tentative itinerary:</w:t>
      </w:r>
    </w:p>
    <w:p w14:paraId="7591A5A6" w14:textId="77777777" w:rsidR="007C53A0" w:rsidRPr="00B721C9" w:rsidRDefault="007C53A0" w:rsidP="007C53A0">
      <w:pPr>
        <w:widowControl/>
        <w:rPr>
          <w:bCs/>
          <w:color w:val="000000"/>
        </w:rPr>
      </w:pPr>
    </w:p>
    <w:p w14:paraId="7591A5A7" w14:textId="77777777" w:rsidR="007C53A0" w:rsidRPr="00B721C9" w:rsidRDefault="007C53A0" w:rsidP="007C53A0">
      <w:pPr>
        <w:widowControl/>
        <w:rPr>
          <w:bCs/>
          <w:color w:val="000000"/>
        </w:rPr>
      </w:pPr>
      <w:r w:rsidRPr="00B721C9">
        <w:rPr>
          <w:bCs/>
          <w:color w:val="000000"/>
        </w:rPr>
        <w:t>6 September: Travel Cph-Kiev (arr. Kiev 19:05)</w:t>
      </w:r>
    </w:p>
    <w:p w14:paraId="7591A5A8" w14:textId="77777777" w:rsidR="007C53A0" w:rsidRPr="00B721C9" w:rsidRDefault="007C53A0" w:rsidP="007C53A0">
      <w:pPr>
        <w:widowControl/>
        <w:rPr>
          <w:bCs/>
          <w:color w:val="000000"/>
        </w:rPr>
      </w:pPr>
      <w:r w:rsidRPr="00B721C9">
        <w:rPr>
          <w:bCs/>
          <w:color w:val="000000"/>
        </w:rPr>
        <w:t>7 September: Meetings: UNDP and main Partners</w:t>
      </w:r>
    </w:p>
    <w:p w14:paraId="7591A5A9" w14:textId="77777777" w:rsidR="007C53A0" w:rsidRPr="00B721C9" w:rsidRDefault="007C53A0" w:rsidP="007C53A0">
      <w:pPr>
        <w:widowControl/>
        <w:rPr>
          <w:bCs/>
          <w:color w:val="000000"/>
        </w:rPr>
      </w:pPr>
      <w:r w:rsidRPr="00B721C9">
        <w:rPr>
          <w:bCs/>
          <w:color w:val="000000"/>
        </w:rPr>
        <w:t xml:space="preserve">8 September: Other Meetings  </w:t>
      </w:r>
    </w:p>
    <w:p w14:paraId="7591A5AA" w14:textId="77777777" w:rsidR="007C53A0" w:rsidRPr="00B721C9" w:rsidRDefault="007C53A0" w:rsidP="007C53A0">
      <w:pPr>
        <w:widowControl/>
        <w:rPr>
          <w:bCs/>
          <w:color w:val="000000"/>
        </w:rPr>
      </w:pPr>
      <w:r w:rsidRPr="00B721C9">
        <w:rPr>
          <w:bCs/>
          <w:color w:val="000000"/>
        </w:rPr>
        <w:t xml:space="preserve">9 September: Visit to Lviv  </w:t>
      </w:r>
    </w:p>
    <w:p w14:paraId="7591A5AB" w14:textId="77777777" w:rsidR="007C53A0" w:rsidRPr="00B721C9" w:rsidRDefault="007C53A0" w:rsidP="007C53A0">
      <w:pPr>
        <w:widowControl/>
        <w:rPr>
          <w:bCs/>
          <w:color w:val="000000"/>
        </w:rPr>
      </w:pPr>
      <w:r w:rsidRPr="00B721C9">
        <w:rPr>
          <w:bCs/>
          <w:color w:val="000000"/>
        </w:rPr>
        <w:t>10 September: Visit to Lviv cont.</w:t>
      </w:r>
    </w:p>
    <w:p w14:paraId="7591A5AC" w14:textId="77777777" w:rsidR="007C53A0" w:rsidRPr="00B721C9" w:rsidRDefault="007C53A0" w:rsidP="007C53A0">
      <w:pPr>
        <w:widowControl/>
        <w:rPr>
          <w:bCs/>
          <w:color w:val="000000"/>
        </w:rPr>
      </w:pPr>
      <w:r w:rsidRPr="00B721C9">
        <w:rPr>
          <w:bCs/>
          <w:color w:val="000000"/>
        </w:rPr>
        <w:t xml:space="preserve">11 September: Report Writing </w:t>
      </w:r>
    </w:p>
    <w:p w14:paraId="7591A5AD" w14:textId="77777777" w:rsidR="007C53A0" w:rsidRPr="00B721C9" w:rsidRDefault="007C53A0" w:rsidP="007C53A0">
      <w:pPr>
        <w:widowControl/>
        <w:rPr>
          <w:bCs/>
          <w:color w:val="000000"/>
        </w:rPr>
      </w:pPr>
      <w:r w:rsidRPr="00B721C9">
        <w:rPr>
          <w:bCs/>
          <w:color w:val="000000"/>
        </w:rPr>
        <w:lastRenderedPageBreak/>
        <w:t>12 September: Meetings</w:t>
      </w:r>
    </w:p>
    <w:p w14:paraId="7591A5AE" w14:textId="77777777" w:rsidR="007C53A0" w:rsidRPr="00B721C9" w:rsidRDefault="007C53A0" w:rsidP="007C53A0">
      <w:pPr>
        <w:widowControl/>
        <w:rPr>
          <w:bCs/>
          <w:color w:val="000000"/>
        </w:rPr>
      </w:pPr>
      <w:r w:rsidRPr="00B721C9">
        <w:rPr>
          <w:bCs/>
          <w:color w:val="000000"/>
        </w:rPr>
        <w:t>13 September: Morning: Meetings</w:t>
      </w:r>
    </w:p>
    <w:p w14:paraId="7591A5AF" w14:textId="77777777" w:rsidR="007C53A0" w:rsidRPr="00B721C9" w:rsidRDefault="007C53A0" w:rsidP="007C53A0">
      <w:pPr>
        <w:widowControl/>
        <w:ind w:firstLine="1560"/>
        <w:rPr>
          <w:bCs/>
          <w:color w:val="000000"/>
        </w:rPr>
      </w:pPr>
      <w:r w:rsidRPr="00B721C9">
        <w:rPr>
          <w:bCs/>
          <w:color w:val="000000"/>
        </w:rPr>
        <w:t>Afternoon: Report writing</w:t>
      </w:r>
    </w:p>
    <w:p w14:paraId="7591A5B0" w14:textId="77777777" w:rsidR="007C53A0" w:rsidRPr="00B721C9" w:rsidRDefault="007C53A0" w:rsidP="007C53A0">
      <w:pPr>
        <w:widowControl/>
        <w:rPr>
          <w:bCs/>
          <w:color w:val="000000"/>
        </w:rPr>
      </w:pPr>
      <w:r w:rsidRPr="00B721C9">
        <w:rPr>
          <w:bCs/>
          <w:color w:val="000000"/>
        </w:rPr>
        <w:t xml:space="preserve">14 September: Report writing Afternoon Debriefing </w:t>
      </w:r>
    </w:p>
    <w:p w14:paraId="7591A5B1" w14:textId="77777777" w:rsidR="007C53A0" w:rsidRPr="00B721C9" w:rsidRDefault="007C53A0" w:rsidP="007C53A0">
      <w:pPr>
        <w:widowControl/>
        <w:rPr>
          <w:bCs/>
          <w:color w:val="000000"/>
        </w:rPr>
      </w:pPr>
      <w:r w:rsidRPr="00B721C9">
        <w:rPr>
          <w:bCs/>
          <w:color w:val="000000"/>
        </w:rPr>
        <w:t>15 September: Morning: Travel Kiev-Cph (dep. Kiev 13:10)</w:t>
      </w:r>
    </w:p>
    <w:p w14:paraId="7591A5B2" w14:textId="77777777" w:rsidR="007C53A0" w:rsidRPr="00B721C9" w:rsidRDefault="007C53A0" w:rsidP="007C53A0">
      <w:pPr>
        <w:widowControl/>
        <w:rPr>
          <w:bCs/>
          <w:color w:val="000000"/>
        </w:rPr>
      </w:pPr>
    </w:p>
    <w:p w14:paraId="7591A5B3" w14:textId="77777777" w:rsidR="007C53A0" w:rsidRPr="00B721C9" w:rsidRDefault="007C53A0" w:rsidP="007C53A0">
      <w:pPr>
        <w:widowControl/>
        <w:rPr>
          <w:bCs/>
          <w:color w:val="000000"/>
        </w:rPr>
      </w:pPr>
      <w:r w:rsidRPr="00B721C9">
        <w:rPr>
          <w:bCs/>
          <w:color w:val="000000"/>
        </w:rPr>
        <w:t xml:space="preserve">After the mission the team will brief the Ministry of Foreign Affairs in Copenhagen. The RAM will be finalised immediately after.  </w:t>
      </w:r>
    </w:p>
    <w:p w14:paraId="7591A5B4" w14:textId="77777777" w:rsidR="007C53A0" w:rsidRDefault="007C53A0" w:rsidP="007C53A0">
      <w:pPr>
        <w:widowControl/>
        <w:rPr>
          <w:bCs/>
          <w:color w:val="000000"/>
          <w:sz w:val="26"/>
          <w:szCs w:val="26"/>
        </w:rPr>
      </w:pPr>
    </w:p>
    <w:p w14:paraId="7591A5B5" w14:textId="77777777" w:rsidR="007C53A0" w:rsidRPr="00413C14" w:rsidRDefault="007C53A0" w:rsidP="007C53A0">
      <w:pPr>
        <w:widowControl/>
        <w:rPr>
          <w:bCs/>
          <w:color w:val="000000"/>
          <w:sz w:val="26"/>
          <w:szCs w:val="26"/>
        </w:rPr>
      </w:pPr>
    </w:p>
    <w:p w14:paraId="7591A5B6" w14:textId="77777777" w:rsidR="007C53A0" w:rsidRPr="00413C14" w:rsidRDefault="007C53A0" w:rsidP="007C53A0">
      <w:pPr>
        <w:widowControl/>
        <w:numPr>
          <w:ilvl w:val="0"/>
          <w:numId w:val="30"/>
        </w:numPr>
        <w:autoSpaceDE/>
        <w:autoSpaceDN/>
        <w:adjustRightInd/>
        <w:rPr>
          <w:b/>
          <w:bCs/>
          <w:color w:val="000000"/>
          <w:sz w:val="26"/>
          <w:szCs w:val="26"/>
        </w:rPr>
      </w:pPr>
      <w:r w:rsidRPr="00413C14">
        <w:rPr>
          <w:b/>
          <w:bCs/>
          <w:color w:val="000000"/>
          <w:sz w:val="26"/>
          <w:szCs w:val="26"/>
        </w:rPr>
        <w:t>TIMING AND REPORTING</w:t>
      </w:r>
    </w:p>
    <w:p w14:paraId="7591A5B7" w14:textId="77777777" w:rsidR="007C53A0" w:rsidRPr="00413C14" w:rsidRDefault="007C53A0" w:rsidP="007C53A0">
      <w:pPr>
        <w:widowControl/>
        <w:rPr>
          <w:b/>
          <w:bCs/>
          <w:color w:val="000000"/>
          <w:sz w:val="26"/>
          <w:szCs w:val="26"/>
        </w:rPr>
      </w:pPr>
    </w:p>
    <w:p w14:paraId="7591A5B8" w14:textId="77777777" w:rsidR="007C53A0" w:rsidRPr="00B721C9" w:rsidRDefault="007C53A0" w:rsidP="007C53A0">
      <w:pPr>
        <w:widowControl/>
        <w:rPr>
          <w:bCs/>
          <w:color w:val="000000"/>
        </w:rPr>
      </w:pPr>
      <w:r w:rsidRPr="00B721C9">
        <w:rPr>
          <w:bCs/>
          <w:color w:val="000000"/>
        </w:rPr>
        <w:t>The review will take place in a period of 16 days in September 2011. Nine days in the field and one week for preparatory work and report writing. A draft Review Aide Memoire will be provided at the debriefing in Kiev. A final version will be provided immediately after the briefing of MFA in Copenhagen.</w:t>
      </w:r>
    </w:p>
    <w:p w14:paraId="7591A5B9" w14:textId="77777777" w:rsidR="007C53A0" w:rsidRPr="00413C14" w:rsidRDefault="007C53A0" w:rsidP="007C53A0">
      <w:pPr>
        <w:widowControl/>
        <w:rPr>
          <w:bCs/>
          <w:color w:val="000000"/>
          <w:sz w:val="26"/>
          <w:szCs w:val="26"/>
        </w:rPr>
      </w:pPr>
    </w:p>
    <w:p w14:paraId="7591A5BA" w14:textId="77777777" w:rsidR="007C53A0" w:rsidRPr="00413C14" w:rsidRDefault="007C53A0" w:rsidP="007C53A0">
      <w:pPr>
        <w:widowControl/>
        <w:numPr>
          <w:ilvl w:val="0"/>
          <w:numId w:val="30"/>
        </w:numPr>
        <w:autoSpaceDE/>
        <w:autoSpaceDN/>
        <w:adjustRightInd/>
        <w:rPr>
          <w:b/>
          <w:bCs/>
          <w:color w:val="000000"/>
          <w:sz w:val="26"/>
          <w:szCs w:val="26"/>
        </w:rPr>
      </w:pPr>
      <w:r w:rsidRPr="00413C14">
        <w:rPr>
          <w:b/>
          <w:bCs/>
          <w:color w:val="000000"/>
          <w:sz w:val="26"/>
          <w:szCs w:val="26"/>
        </w:rPr>
        <w:t>COMPOSITION OF TEAM</w:t>
      </w:r>
    </w:p>
    <w:p w14:paraId="7591A5BB" w14:textId="77777777" w:rsidR="007C53A0" w:rsidRPr="00B721C9" w:rsidRDefault="007C53A0" w:rsidP="007C53A0">
      <w:pPr>
        <w:rPr>
          <w:color w:val="000000"/>
        </w:rPr>
      </w:pPr>
      <w:r w:rsidRPr="00B721C9">
        <w:rPr>
          <w:color w:val="000000"/>
        </w:rPr>
        <w:t xml:space="preserve">The team will be composed of: </w:t>
      </w:r>
      <w:r w:rsidRPr="00B721C9">
        <w:rPr>
          <w:color w:val="000000"/>
        </w:rPr>
        <w:br/>
      </w:r>
    </w:p>
    <w:p w14:paraId="7591A5BC" w14:textId="77777777" w:rsidR="007C53A0" w:rsidRPr="00B721C9" w:rsidRDefault="007C53A0" w:rsidP="007C53A0">
      <w:pPr>
        <w:rPr>
          <w:color w:val="000000"/>
        </w:rPr>
      </w:pPr>
      <w:r w:rsidRPr="00B721C9">
        <w:rPr>
          <w:color w:val="000000"/>
        </w:rPr>
        <w:t>Mr. Anders Baltzer Jørgensen, Ministry of Foreign Affairs, Technical Advisory Services, Team Leader</w:t>
      </w:r>
    </w:p>
    <w:p w14:paraId="7591A5BD" w14:textId="77777777" w:rsidR="007C53A0" w:rsidRPr="00B721C9" w:rsidRDefault="007C53A0" w:rsidP="007C53A0">
      <w:pPr>
        <w:rPr>
          <w:color w:val="000000"/>
        </w:rPr>
      </w:pPr>
      <w:r w:rsidRPr="00B721C9">
        <w:rPr>
          <w:color w:val="000000"/>
        </w:rPr>
        <w:t xml:space="preserve">Mr. Hans Peter Dejgaard, External consultant </w:t>
      </w:r>
    </w:p>
    <w:p w14:paraId="7591A5BE" w14:textId="77777777" w:rsidR="007C53A0" w:rsidRPr="00B721C9" w:rsidRDefault="007C53A0" w:rsidP="007C53A0">
      <w:pPr>
        <w:rPr>
          <w:color w:val="000000"/>
        </w:rPr>
      </w:pPr>
    </w:p>
    <w:p w14:paraId="7591A5BF" w14:textId="77777777" w:rsidR="007C53A0" w:rsidRPr="00B721C9" w:rsidRDefault="007C53A0" w:rsidP="007C53A0">
      <w:pPr>
        <w:rPr>
          <w:color w:val="000000"/>
        </w:rPr>
      </w:pPr>
      <w:r w:rsidRPr="00B721C9">
        <w:rPr>
          <w:color w:val="000000"/>
        </w:rPr>
        <w:t xml:space="preserve">Fin Poulsen/Louise Jersild, Ministry of Foreign Affairs, ENR, will participate in the mission as resource person. </w:t>
      </w:r>
      <w:r w:rsidRPr="00B721C9">
        <w:rPr>
          <w:i/>
          <w:color w:val="000000"/>
        </w:rPr>
        <w:t>TBC</w:t>
      </w:r>
    </w:p>
    <w:p w14:paraId="7591A5C0" w14:textId="77777777" w:rsidR="007C53A0" w:rsidRPr="00413C14" w:rsidRDefault="007C53A0" w:rsidP="007C53A0">
      <w:pPr>
        <w:widowControl/>
        <w:rPr>
          <w:bCs/>
          <w:color w:val="000000"/>
          <w:sz w:val="26"/>
          <w:szCs w:val="26"/>
        </w:rPr>
      </w:pPr>
    </w:p>
    <w:p w14:paraId="7591A5C1" w14:textId="77777777" w:rsidR="007C53A0" w:rsidRPr="00413C14" w:rsidRDefault="007C53A0" w:rsidP="007C53A0">
      <w:pPr>
        <w:widowControl/>
        <w:numPr>
          <w:ilvl w:val="0"/>
          <w:numId w:val="30"/>
        </w:numPr>
        <w:autoSpaceDE/>
        <w:autoSpaceDN/>
        <w:adjustRightInd/>
        <w:rPr>
          <w:b/>
          <w:bCs/>
          <w:color w:val="000000"/>
          <w:sz w:val="26"/>
          <w:szCs w:val="26"/>
        </w:rPr>
      </w:pPr>
      <w:r w:rsidRPr="00413C14">
        <w:rPr>
          <w:b/>
          <w:bCs/>
          <w:color w:val="000000"/>
          <w:sz w:val="26"/>
          <w:szCs w:val="26"/>
        </w:rPr>
        <w:t>LIST OF DOCUMENTATION</w:t>
      </w:r>
    </w:p>
    <w:p w14:paraId="7591A5C2" w14:textId="77777777" w:rsidR="007C53A0" w:rsidRPr="00413C14" w:rsidRDefault="007C53A0" w:rsidP="007C53A0">
      <w:pPr>
        <w:widowControl/>
        <w:rPr>
          <w:b/>
          <w:bCs/>
          <w:color w:val="000000"/>
          <w:sz w:val="26"/>
          <w:szCs w:val="26"/>
        </w:rPr>
      </w:pPr>
    </w:p>
    <w:p w14:paraId="7591A5C3" w14:textId="77777777" w:rsidR="007C53A0" w:rsidRPr="00B721C9" w:rsidRDefault="007C53A0" w:rsidP="007C53A0">
      <w:pPr>
        <w:numPr>
          <w:ilvl w:val="0"/>
          <w:numId w:val="31"/>
        </w:numPr>
        <w:autoSpaceDE/>
        <w:autoSpaceDN/>
        <w:adjustRightInd/>
        <w:rPr>
          <w:color w:val="000000"/>
        </w:rPr>
      </w:pPr>
      <w:r w:rsidRPr="00B721C9">
        <w:rPr>
          <w:color w:val="000000"/>
        </w:rPr>
        <w:t>Programme Document</w:t>
      </w:r>
    </w:p>
    <w:p w14:paraId="7591A5C4" w14:textId="77777777" w:rsidR="007C53A0" w:rsidRPr="00B721C9" w:rsidRDefault="007C53A0" w:rsidP="007C53A0">
      <w:pPr>
        <w:numPr>
          <w:ilvl w:val="0"/>
          <w:numId w:val="31"/>
        </w:numPr>
        <w:autoSpaceDE/>
        <w:autoSpaceDN/>
        <w:adjustRightInd/>
        <w:rPr>
          <w:color w:val="000000"/>
        </w:rPr>
      </w:pPr>
      <w:r w:rsidRPr="00B721C9">
        <w:rPr>
          <w:color w:val="000000"/>
        </w:rPr>
        <w:t>Appraisal Report</w:t>
      </w:r>
    </w:p>
    <w:p w14:paraId="7591A5C5" w14:textId="77777777" w:rsidR="007C53A0" w:rsidRPr="00B721C9" w:rsidRDefault="007C53A0" w:rsidP="007C53A0">
      <w:pPr>
        <w:numPr>
          <w:ilvl w:val="0"/>
          <w:numId w:val="31"/>
        </w:numPr>
        <w:autoSpaceDE/>
        <w:autoSpaceDN/>
        <w:adjustRightInd/>
        <w:rPr>
          <w:color w:val="000000"/>
        </w:rPr>
      </w:pPr>
      <w:r w:rsidRPr="00B721C9">
        <w:rPr>
          <w:color w:val="000000"/>
        </w:rPr>
        <w:t>Annual and semi-annual Progress Reports</w:t>
      </w:r>
    </w:p>
    <w:p w14:paraId="7591A5C6" w14:textId="77777777" w:rsidR="007C53A0" w:rsidRPr="00B721C9" w:rsidRDefault="007C53A0" w:rsidP="007C53A0">
      <w:pPr>
        <w:numPr>
          <w:ilvl w:val="0"/>
          <w:numId w:val="31"/>
        </w:numPr>
        <w:autoSpaceDE/>
        <w:autoSpaceDN/>
        <w:adjustRightInd/>
        <w:rPr>
          <w:color w:val="000000"/>
        </w:rPr>
      </w:pPr>
      <w:r w:rsidRPr="00B721C9">
        <w:rPr>
          <w:color w:val="000000"/>
        </w:rPr>
        <w:t>Minutes of Programme Board meetings</w:t>
      </w:r>
    </w:p>
    <w:p w14:paraId="7591A5C7" w14:textId="77777777" w:rsidR="007C53A0" w:rsidRPr="00B721C9" w:rsidRDefault="007C53A0" w:rsidP="007C53A0">
      <w:pPr>
        <w:numPr>
          <w:ilvl w:val="0"/>
          <w:numId w:val="31"/>
        </w:numPr>
        <w:autoSpaceDE/>
        <w:autoSpaceDN/>
        <w:adjustRightInd/>
        <w:rPr>
          <w:color w:val="000000"/>
        </w:rPr>
      </w:pPr>
      <w:r w:rsidRPr="00B721C9">
        <w:rPr>
          <w:color w:val="000000"/>
        </w:rPr>
        <w:t>UNDP Mid-term review of November 2010</w:t>
      </w:r>
    </w:p>
    <w:p w14:paraId="7591A5C8" w14:textId="77777777" w:rsidR="007C53A0" w:rsidRPr="00B721C9" w:rsidRDefault="007C53A0" w:rsidP="007C53A0">
      <w:pPr>
        <w:rPr>
          <w:color w:val="000000"/>
        </w:rPr>
      </w:pPr>
    </w:p>
    <w:p w14:paraId="7591A5C9" w14:textId="77777777" w:rsidR="007C53A0" w:rsidRPr="00B721C9" w:rsidRDefault="007C53A0" w:rsidP="007C53A0">
      <w:pPr>
        <w:jc w:val="both"/>
        <w:rPr>
          <w:color w:val="000000"/>
        </w:rPr>
      </w:pPr>
      <w:r w:rsidRPr="00B721C9">
        <w:rPr>
          <w:color w:val="000000"/>
        </w:rPr>
        <w:t>The list will be updated by UNDP Kiev.</w:t>
      </w:r>
    </w:p>
    <w:p w14:paraId="7591A5CA" w14:textId="77777777" w:rsidR="007C53A0" w:rsidRPr="00B721C9" w:rsidRDefault="007C53A0" w:rsidP="007C53A0">
      <w:pPr>
        <w:pStyle w:val="ListBulletNoSpace"/>
        <w:numPr>
          <w:ilvl w:val="0"/>
          <w:numId w:val="0"/>
        </w:numPr>
        <w:rPr>
          <w:rFonts w:ascii="Times New Roman" w:hAnsi="Times New Roman"/>
          <w:sz w:val="24"/>
          <w:szCs w:val="24"/>
        </w:rPr>
      </w:pPr>
    </w:p>
    <w:p w14:paraId="7591A5CB" w14:textId="77777777" w:rsidR="007C53A0" w:rsidRPr="00B721C9" w:rsidRDefault="007C53A0" w:rsidP="007C53A0">
      <w:pPr>
        <w:pStyle w:val="ListBulletNoSpace"/>
        <w:numPr>
          <w:ilvl w:val="0"/>
          <w:numId w:val="0"/>
        </w:numPr>
        <w:rPr>
          <w:rFonts w:ascii="Times New Roman" w:hAnsi="Times New Roman"/>
          <w:sz w:val="24"/>
          <w:szCs w:val="24"/>
        </w:rPr>
      </w:pPr>
    </w:p>
    <w:p w14:paraId="7591A5CC" w14:textId="77777777" w:rsidR="007C53A0" w:rsidRPr="00B721C9" w:rsidRDefault="007C53A0" w:rsidP="007C53A0">
      <w:pPr>
        <w:pStyle w:val="BodyTextIndent3"/>
        <w:ind w:left="0"/>
        <w:rPr>
          <w:color w:val="000000"/>
          <w:szCs w:val="24"/>
          <w:lang w:val="en-GB"/>
        </w:rPr>
      </w:pPr>
      <w:r w:rsidRPr="00B721C9">
        <w:rPr>
          <w:color w:val="000000"/>
          <w:szCs w:val="24"/>
          <w:lang w:val="en-GB"/>
        </w:rPr>
        <w:t xml:space="preserve"> </w:t>
      </w:r>
    </w:p>
    <w:p w14:paraId="7591A5CD" w14:textId="77777777" w:rsidR="007C53A0" w:rsidRPr="00B721C9" w:rsidRDefault="007C53A0" w:rsidP="007C53A0">
      <w:pPr>
        <w:spacing w:before="120" w:after="120"/>
        <w:ind w:right="-3"/>
        <w:jc w:val="center"/>
        <w:rPr>
          <w:color w:val="000000"/>
        </w:rPr>
      </w:pPr>
      <w:r w:rsidRPr="00B721C9">
        <w:rPr>
          <w:color w:val="000000"/>
        </w:rPr>
        <w:t>Copenhagen, 21 July 2011</w:t>
      </w:r>
    </w:p>
    <w:p w14:paraId="7591A5CE" w14:textId="77777777" w:rsidR="007C53A0" w:rsidRPr="00413C14" w:rsidRDefault="007C53A0" w:rsidP="007C53A0">
      <w:pPr>
        <w:spacing w:before="120" w:after="120"/>
        <w:ind w:right="-680"/>
        <w:jc w:val="center"/>
        <w:rPr>
          <w:color w:val="000000"/>
          <w:sz w:val="26"/>
          <w:szCs w:val="26"/>
        </w:rPr>
      </w:pPr>
    </w:p>
    <w:p w14:paraId="7591A5CF" w14:textId="77777777" w:rsidR="007C53A0" w:rsidRPr="00413C14" w:rsidRDefault="007C53A0" w:rsidP="007C53A0">
      <w:pPr>
        <w:spacing w:before="120" w:after="120"/>
        <w:ind w:right="-680"/>
        <w:jc w:val="center"/>
        <w:rPr>
          <w:color w:val="000000"/>
          <w:sz w:val="26"/>
          <w:szCs w:val="26"/>
        </w:rPr>
      </w:pPr>
    </w:p>
    <w:p w14:paraId="7591A5D0" w14:textId="77777777" w:rsidR="007C53A0" w:rsidRPr="00413C14" w:rsidRDefault="007C53A0" w:rsidP="007C53A0">
      <w:pPr>
        <w:rPr>
          <w:sz w:val="26"/>
          <w:szCs w:val="26"/>
        </w:rPr>
      </w:pPr>
    </w:p>
    <w:p w14:paraId="7591A5D1" w14:textId="77777777" w:rsidR="007C53A0" w:rsidRPr="00413C14" w:rsidRDefault="007C53A0" w:rsidP="007C53A0"/>
    <w:p w14:paraId="7591A5D2" w14:textId="77777777" w:rsidR="00F113A4" w:rsidRDefault="00F113A4">
      <w:pPr>
        <w:widowControl/>
        <w:autoSpaceDE/>
        <w:autoSpaceDN/>
        <w:adjustRightInd/>
        <w:spacing w:after="200" w:line="276" w:lineRule="auto"/>
        <w:sectPr w:rsidR="00F113A4" w:rsidSect="003F6C9C">
          <w:pgSz w:w="11906" w:h="16838"/>
          <w:pgMar w:top="1701" w:right="1134" w:bottom="1701" w:left="1134" w:header="708" w:footer="708" w:gutter="0"/>
          <w:pgNumType w:start="1"/>
          <w:cols w:space="708"/>
          <w:docGrid w:linePitch="360"/>
        </w:sectPr>
      </w:pPr>
    </w:p>
    <w:p w14:paraId="7591A5D3" w14:textId="77777777" w:rsidR="007C53A0" w:rsidRPr="00F113A4" w:rsidRDefault="00F113A4">
      <w:pPr>
        <w:widowControl/>
        <w:autoSpaceDE/>
        <w:autoSpaceDN/>
        <w:adjustRightInd/>
        <w:spacing w:after="200" w:line="276" w:lineRule="auto"/>
        <w:rPr>
          <w:rFonts w:eastAsia="Calibri"/>
          <w:b/>
          <w:snapToGrid/>
          <w:sz w:val="28"/>
          <w:szCs w:val="28"/>
          <w:lang w:eastAsia="da-DK"/>
        </w:rPr>
      </w:pPr>
      <w:r w:rsidRPr="00F113A4">
        <w:rPr>
          <w:rFonts w:eastAsia="Calibri"/>
          <w:b/>
          <w:snapToGrid/>
          <w:sz w:val="28"/>
          <w:szCs w:val="28"/>
          <w:lang w:eastAsia="da-DK"/>
        </w:rPr>
        <w:lastRenderedPageBreak/>
        <w:t>Annex 2</w:t>
      </w:r>
    </w:p>
    <w:p w14:paraId="7591A5D4" w14:textId="77777777" w:rsidR="007C53A0" w:rsidRDefault="007C53A0" w:rsidP="007C53A0">
      <w:pPr>
        <w:rPr>
          <w:rFonts w:cs="Arial"/>
          <w:b/>
          <w:sz w:val="32"/>
          <w:szCs w:val="32"/>
          <w:lang w:val="en-US"/>
        </w:rPr>
      </w:pPr>
    </w:p>
    <w:p w14:paraId="7591A5D5" w14:textId="77777777" w:rsidR="007C53A0" w:rsidRDefault="007C53A0" w:rsidP="007C53A0">
      <w:pPr>
        <w:jc w:val="center"/>
        <w:rPr>
          <w:rFonts w:cs="Arial"/>
          <w:b/>
          <w:sz w:val="32"/>
          <w:szCs w:val="32"/>
          <w:lang w:val="en-US"/>
        </w:rPr>
      </w:pPr>
      <w:r w:rsidRPr="00B30A41">
        <w:rPr>
          <w:rFonts w:cs="Arial"/>
          <w:b/>
          <w:sz w:val="32"/>
          <w:szCs w:val="32"/>
          <w:lang w:val="en-US"/>
        </w:rPr>
        <w:t xml:space="preserve">List of Persons met in </w:t>
      </w:r>
      <w:r>
        <w:rPr>
          <w:rFonts w:cs="Arial"/>
          <w:b/>
          <w:sz w:val="32"/>
          <w:szCs w:val="32"/>
          <w:lang w:val="en-US"/>
        </w:rPr>
        <w:t>Ukraine</w:t>
      </w:r>
    </w:p>
    <w:p w14:paraId="7591A5D6" w14:textId="77777777" w:rsidR="00F113A4" w:rsidRPr="00B30A41" w:rsidRDefault="00F113A4" w:rsidP="007C53A0">
      <w:pPr>
        <w:jc w:val="center"/>
        <w:rPr>
          <w:rFonts w:cs="Arial"/>
          <w:b/>
          <w:sz w:val="32"/>
          <w:szCs w:val="32"/>
          <w:lang w:val="en-US"/>
        </w:rPr>
      </w:pPr>
    </w:p>
    <w:p w14:paraId="7591A5D7" w14:textId="77777777" w:rsidR="007C53A0" w:rsidRPr="00F71DF0" w:rsidRDefault="007C53A0" w:rsidP="007C53A0">
      <w:pPr>
        <w:spacing w:after="120"/>
        <w:rPr>
          <w:b/>
          <w:i/>
          <w:sz w:val="26"/>
          <w:szCs w:val="26"/>
          <w:u w:val="single"/>
          <w:lang w:val="en-US"/>
        </w:rPr>
      </w:pPr>
      <w:r w:rsidRPr="00F71DF0">
        <w:rPr>
          <w:b/>
          <w:i/>
          <w:sz w:val="26"/>
          <w:szCs w:val="26"/>
          <w:u w:val="single"/>
          <w:lang w:val="en-US"/>
        </w:rPr>
        <w:t>List of Persons met in Kyiv</w:t>
      </w:r>
    </w:p>
    <w:p w14:paraId="7591A5D8" w14:textId="77777777" w:rsidR="007C53A0" w:rsidRPr="009620AE" w:rsidRDefault="007C53A0" w:rsidP="007C53A0">
      <w:pPr>
        <w:spacing w:after="120"/>
        <w:rPr>
          <w:lang w:val="en-US"/>
        </w:rPr>
      </w:pPr>
      <w:r w:rsidRPr="00DD5B65">
        <w:rPr>
          <w:b/>
          <w:lang w:val="en-US"/>
        </w:rPr>
        <w:t>Ministry of regional development, construction, housing and utility services</w:t>
      </w:r>
      <w:r w:rsidRPr="00DD5B65">
        <w:rPr>
          <w:b/>
          <w:lang w:val="en-US"/>
        </w:rPr>
        <w:br/>
      </w:r>
      <w:r w:rsidRPr="009620AE">
        <w:rPr>
          <w:lang w:val="en-US"/>
        </w:rPr>
        <w:t>Olga Mashtakova, Head of Public Information Section</w:t>
      </w:r>
    </w:p>
    <w:p w14:paraId="7591A5D9" w14:textId="77777777" w:rsidR="007C53A0" w:rsidRPr="00DD5B65" w:rsidRDefault="007C53A0" w:rsidP="007C53A0">
      <w:pPr>
        <w:spacing w:after="120"/>
        <w:rPr>
          <w:b/>
          <w:lang w:val="en-US"/>
        </w:rPr>
      </w:pPr>
      <w:r w:rsidRPr="00DD5B65">
        <w:rPr>
          <w:b/>
          <w:lang w:val="en-US"/>
        </w:rPr>
        <w:t xml:space="preserve">Secretariat of the Cabinet of Ministers of </w:t>
      </w:r>
      <w:smartTag w:uri="urn:schemas-microsoft-com:office:smarttags" w:element="country-region">
        <w:smartTag w:uri="urn:schemas-microsoft-com:office:smarttags" w:element="place">
          <w:r w:rsidRPr="00DD5B65">
            <w:rPr>
              <w:b/>
              <w:lang w:val="en-US"/>
            </w:rPr>
            <w:t>Ukraine</w:t>
          </w:r>
        </w:smartTag>
      </w:smartTag>
    </w:p>
    <w:p w14:paraId="7591A5DA" w14:textId="77777777" w:rsidR="007C53A0" w:rsidRPr="009620AE" w:rsidRDefault="007C53A0" w:rsidP="007C53A0">
      <w:pPr>
        <w:spacing w:after="120"/>
        <w:rPr>
          <w:lang w:val="en-US"/>
        </w:rPr>
      </w:pPr>
      <w:r w:rsidRPr="009620AE">
        <w:rPr>
          <w:lang w:val="en-US"/>
        </w:rPr>
        <w:t>Natalya Oksha, Head of Public Relations Section, Department of Public Informational and</w:t>
      </w:r>
    </w:p>
    <w:p w14:paraId="7591A5DB" w14:textId="77777777" w:rsidR="007C53A0" w:rsidRPr="009620AE" w:rsidRDefault="007C53A0" w:rsidP="007C53A0">
      <w:pPr>
        <w:spacing w:after="120"/>
        <w:rPr>
          <w:lang w:val="en-US"/>
        </w:rPr>
      </w:pPr>
      <w:r w:rsidRPr="009620AE">
        <w:rPr>
          <w:lang w:val="en-US"/>
        </w:rPr>
        <w:t xml:space="preserve">Communications </w:t>
      </w:r>
    </w:p>
    <w:p w14:paraId="7591A5DC" w14:textId="77777777" w:rsidR="007C53A0" w:rsidRPr="009620AE" w:rsidRDefault="007C53A0" w:rsidP="007C53A0">
      <w:pPr>
        <w:spacing w:after="120"/>
        <w:rPr>
          <w:lang w:val="en-US"/>
        </w:rPr>
      </w:pPr>
      <w:r w:rsidRPr="009620AE">
        <w:rPr>
          <w:lang w:val="en-US"/>
        </w:rPr>
        <w:t xml:space="preserve">Tetyana Andriychuk, Head of Civil Society Development Support Office </w:t>
      </w:r>
    </w:p>
    <w:p w14:paraId="7591A5DD" w14:textId="77777777" w:rsidR="007C53A0" w:rsidRPr="00DD5B65" w:rsidRDefault="007C53A0" w:rsidP="007C53A0">
      <w:pPr>
        <w:spacing w:after="120"/>
        <w:rPr>
          <w:b/>
          <w:lang w:val="en-US"/>
        </w:rPr>
      </w:pPr>
      <w:smartTag w:uri="urn:schemas-microsoft-com:office:smarttags" w:element="place">
        <w:smartTag w:uri="urn:schemas-microsoft-com:office:smarttags" w:element="PlaceName">
          <w:r w:rsidRPr="00DD5B65">
            <w:rPr>
              <w:b/>
              <w:lang w:val="en-US"/>
            </w:rPr>
            <w:t>CCC</w:t>
          </w:r>
        </w:smartTag>
        <w:r w:rsidRPr="00DD5B65">
          <w:rPr>
            <w:b/>
            <w:lang w:val="en-US"/>
          </w:rPr>
          <w:t xml:space="preserve"> </w:t>
        </w:r>
        <w:smartTag w:uri="urn:schemas-microsoft-com:office:smarttags" w:element="PlaceName">
          <w:r w:rsidRPr="00DD5B65">
            <w:rPr>
              <w:b/>
              <w:lang w:val="en-US"/>
            </w:rPr>
            <w:t>Creative</w:t>
          </w:r>
        </w:smartTag>
        <w:r w:rsidRPr="00DD5B65">
          <w:rPr>
            <w:b/>
            <w:lang w:val="en-US"/>
          </w:rPr>
          <w:t xml:space="preserve"> </w:t>
        </w:r>
        <w:smartTag w:uri="urn:schemas-microsoft-com:office:smarttags" w:element="PlaceType">
          <w:r w:rsidRPr="00DD5B65">
            <w:rPr>
              <w:b/>
              <w:lang w:val="en-US"/>
            </w:rPr>
            <w:t>Center</w:t>
          </w:r>
        </w:smartTag>
      </w:smartTag>
    </w:p>
    <w:p w14:paraId="7591A5DE" w14:textId="77777777" w:rsidR="007C53A0" w:rsidRPr="009620AE" w:rsidRDefault="007C53A0" w:rsidP="007C53A0">
      <w:pPr>
        <w:spacing w:after="120"/>
        <w:rPr>
          <w:lang w:val="en-US"/>
        </w:rPr>
      </w:pPr>
      <w:r w:rsidRPr="009620AE">
        <w:rPr>
          <w:lang w:val="en-US"/>
        </w:rPr>
        <w:t xml:space="preserve">Palyvoda Liubov, President </w:t>
      </w:r>
      <w:r w:rsidRPr="009620AE">
        <w:rPr>
          <w:lang w:val="en-US"/>
        </w:rPr>
        <w:br/>
        <w:t xml:space="preserve">Volodymyr Kupriy, Executive Director </w:t>
      </w:r>
      <w:r w:rsidRPr="009620AE">
        <w:br/>
      </w:r>
      <w:r w:rsidRPr="009620AE">
        <w:rPr>
          <w:lang w:val="en-US"/>
        </w:rPr>
        <w:t>Natalia Kupriy, Projects Manager</w:t>
      </w:r>
    </w:p>
    <w:p w14:paraId="7591A5DF" w14:textId="77777777" w:rsidR="007C53A0" w:rsidRPr="009620AE" w:rsidRDefault="007C53A0" w:rsidP="007C53A0">
      <w:pPr>
        <w:spacing w:after="120"/>
        <w:rPr>
          <w:lang w:val="en-US"/>
        </w:rPr>
      </w:pPr>
      <w:smartTag w:uri="urn:schemas-microsoft-com:office:smarttags" w:element="place">
        <w:smartTag w:uri="urn:schemas-microsoft-com:office:smarttags" w:element="PlaceName">
          <w:r w:rsidRPr="007F50CB">
            <w:rPr>
              <w:b/>
              <w:lang w:val="en-US"/>
            </w:rPr>
            <w:t>Initiative</w:t>
          </w:r>
        </w:smartTag>
        <w:r w:rsidRPr="007F50CB">
          <w:rPr>
            <w:b/>
            <w:lang w:val="en-US"/>
          </w:rPr>
          <w:t xml:space="preserve"> </w:t>
        </w:r>
        <w:smartTag w:uri="urn:schemas-microsoft-com:office:smarttags" w:element="PlaceType">
          <w:r w:rsidRPr="007F50CB">
            <w:rPr>
              <w:b/>
              <w:lang w:val="en-US"/>
            </w:rPr>
            <w:t>Center</w:t>
          </w:r>
        </w:smartTag>
      </w:smartTag>
      <w:r w:rsidRPr="007F50CB">
        <w:rPr>
          <w:b/>
          <w:lang w:val="en-US"/>
        </w:rPr>
        <w:t xml:space="preserve"> to Support Social Action (ISAR Ednannia)</w:t>
      </w:r>
      <w:r w:rsidRPr="007F50CB">
        <w:rPr>
          <w:b/>
          <w:lang w:val="en-US"/>
        </w:rPr>
        <w:br/>
      </w:r>
      <w:r w:rsidRPr="009620AE">
        <w:rPr>
          <w:lang w:val="en-US"/>
        </w:rPr>
        <w:t xml:space="preserve">Olena Hubar, Administrative and Programme Advisor </w:t>
      </w:r>
      <w:r w:rsidRPr="009620AE">
        <w:rPr>
          <w:lang w:val="en-US"/>
        </w:rPr>
        <w:br/>
        <w:t>Volodymyr Sheyhus, Executive director</w:t>
      </w:r>
    </w:p>
    <w:p w14:paraId="7591A5E0" w14:textId="77777777" w:rsidR="007C53A0" w:rsidRPr="009620AE" w:rsidRDefault="007C53A0" w:rsidP="007C53A0">
      <w:pPr>
        <w:spacing w:after="120"/>
        <w:rPr>
          <w:lang w:val="en-US"/>
        </w:rPr>
      </w:pPr>
      <w:r w:rsidRPr="007F50CB">
        <w:rPr>
          <w:b/>
          <w:lang w:val="en-US"/>
        </w:rPr>
        <w:t>Civic Coalition for the Adoption of the New Law on Civic Associations</w:t>
      </w:r>
      <w:r w:rsidRPr="007F50CB">
        <w:rPr>
          <w:b/>
          <w:lang w:val="en-US"/>
        </w:rPr>
        <w:br/>
      </w:r>
      <w:r w:rsidRPr="009620AE">
        <w:rPr>
          <w:lang w:val="en-US"/>
        </w:rPr>
        <w:t>Oleksandr Vinnikov, Chairman, European Law Advancement Network, member of the Civic Coalition</w:t>
      </w:r>
    </w:p>
    <w:p w14:paraId="7591A5E1" w14:textId="77777777" w:rsidR="007C53A0" w:rsidRPr="009620AE" w:rsidRDefault="007C53A0" w:rsidP="007C53A0">
      <w:pPr>
        <w:spacing w:after="120"/>
        <w:rPr>
          <w:lang w:val="en-US"/>
        </w:rPr>
      </w:pPr>
      <w:r w:rsidRPr="007F50CB">
        <w:rPr>
          <w:b/>
          <w:lang w:val="en-US"/>
        </w:rPr>
        <w:t>SIDA</w:t>
      </w:r>
      <w:r w:rsidRPr="007F50CB">
        <w:rPr>
          <w:b/>
          <w:lang w:val="en-US"/>
        </w:rPr>
        <w:br/>
      </w:r>
      <w:r w:rsidRPr="009620AE">
        <w:rPr>
          <w:lang w:val="en-US"/>
        </w:rPr>
        <w:t xml:space="preserve">Mirja Peterson, Counsellor, Embassy of </w:t>
      </w:r>
      <w:smartTag w:uri="urn:schemas-microsoft-com:office:smarttags" w:element="place">
        <w:smartTag w:uri="urn:schemas-microsoft-com:office:smarttags" w:element="country-region">
          <w:r w:rsidRPr="009620AE">
            <w:rPr>
              <w:lang w:val="en-US"/>
            </w:rPr>
            <w:t>Sweden</w:t>
          </w:r>
        </w:smartTag>
      </w:smartTag>
    </w:p>
    <w:p w14:paraId="7591A5E2" w14:textId="77777777" w:rsidR="007C53A0" w:rsidRPr="009620AE" w:rsidRDefault="007C53A0" w:rsidP="007C53A0">
      <w:pPr>
        <w:spacing w:after="120"/>
      </w:pPr>
      <w:r w:rsidRPr="007F50CB">
        <w:rPr>
          <w:b/>
          <w:lang w:val="en-US"/>
        </w:rPr>
        <w:t xml:space="preserve">Delegation of the EU to </w:t>
      </w:r>
      <w:smartTag w:uri="urn:schemas-microsoft-com:office:smarttags" w:element="country-region">
        <w:smartTag w:uri="urn:schemas-microsoft-com:office:smarttags" w:element="place">
          <w:r w:rsidRPr="007F50CB">
            <w:rPr>
              <w:b/>
              <w:lang w:val="en-US"/>
            </w:rPr>
            <w:t>Ukraine</w:t>
          </w:r>
        </w:smartTag>
      </w:smartTag>
      <w:r w:rsidRPr="007F50CB">
        <w:rPr>
          <w:b/>
          <w:lang w:val="en-US"/>
        </w:rPr>
        <w:br/>
      </w:r>
      <w:r w:rsidRPr="009620AE">
        <w:t>Ms. Stefanie Harter, EU Delegation Projects Coordinator</w:t>
      </w:r>
    </w:p>
    <w:p w14:paraId="7591A5E3" w14:textId="77777777" w:rsidR="007C53A0" w:rsidRPr="009620AE" w:rsidRDefault="007C53A0" w:rsidP="007C53A0">
      <w:pPr>
        <w:spacing w:after="120"/>
        <w:rPr>
          <w:lang w:val="en-US"/>
        </w:rPr>
      </w:pPr>
      <w:r w:rsidRPr="009620AE">
        <w:rPr>
          <w:lang w:val="en-US"/>
        </w:rPr>
        <w:t>Stanislav Topolnytsky, Programme Officer, Civil Society and Human Rights</w:t>
      </w:r>
    </w:p>
    <w:p w14:paraId="7591A5E4" w14:textId="77777777" w:rsidR="007C53A0" w:rsidRPr="009620AE" w:rsidRDefault="007C53A0" w:rsidP="007C53A0">
      <w:pPr>
        <w:spacing w:after="120"/>
      </w:pPr>
      <w:r w:rsidRPr="009620AE">
        <w:t>Ms. Tetyana Shulga, EU Delegation Sector Manager Regional Development and Culture</w:t>
      </w:r>
    </w:p>
    <w:p w14:paraId="7591A5E5" w14:textId="77777777" w:rsidR="007C53A0" w:rsidRPr="007C53A0" w:rsidRDefault="007C53A0" w:rsidP="007C53A0">
      <w:pPr>
        <w:spacing w:after="120"/>
      </w:pPr>
      <w:r w:rsidRPr="009620AE">
        <w:t>Ms. Myroslava Didukh</w:t>
      </w:r>
    </w:p>
    <w:p w14:paraId="7591A5E6" w14:textId="77777777" w:rsidR="007C53A0" w:rsidRPr="009620AE" w:rsidRDefault="007C53A0" w:rsidP="007C53A0">
      <w:pPr>
        <w:spacing w:after="120"/>
      </w:pPr>
      <w:r w:rsidRPr="009620AE">
        <w:t>Mr. Dominique Pappenheim.</w:t>
      </w:r>
    </w:p>
    <w:p w14:paraId="7591A5E7" w14:textId="77777777" w:rsidR="007C53A0" w:rsidRDefault="007C53A0" w:rsidP="007C53A0">
      <w:pPr>
        <w:rPr>
          <w:lang w:val="en-US"/>
        </w:rPr>
      </w:pPr>
      <w:r w:rsidRPr="00BC66E3">
        <w:rPr>
          <w:b/>
          <w:lang w:val="en-US"/>
        </w:rPr>
        <w:t>PACT</w:t>
      </w:r>
      <w:r w:rsidRPr="00BC66E3">
        <w:rPr>
          <w:b/>
          <w:lang w:val="en-US"/>
        </w:rPr>
        <w:br/>
      </w:r>
      <w:r w:rsidRPr="00DD5B65">
        <w:rPr>
          <w:lang w:val="en-US"/>
        </w:rPr>
        <w:t>Balazs Jarabik [BJarabik@pactworld.org]</w:t>
      </w:r>
      <w:r w:rsidRPr="009620AE">
        <w:rPr>
          <w:lang w:val="en-US"/>
        </w:rPr>
        <w:t>Chief of Party, PACT</w:t>
      </w:r>
      <w:r w:rsidRPr="009620AE">
        <w:rPr>
          <w:lang w:val="en-US"/>
        </w:rPr>
        <w:br/>
        <w:t xml:space="preserve">Roland Kovats, Chief of </w:t>
      </w:r>
      <w:smartTag w:uri="urn:schemas-microsoft-com:office:smarttags" w:element="place">
        <w:smartTag w:uri="urn:schemas-microsoft-com:office:smarttags" w:element="City">
          <w:r w:rsidRPr="009620AE">
            <w:rPr>
              <w:lang w:val="en-US"/>
            </w:rPr>
            <w:t>Party</w:t>
          </w:r>
        </w:smartTag>
        <w:r w:rsidRPr="009620AE">
          <w:rPr>
            <w:lang w:val="en-US"/>
          </w:rPr>
          <w:t xml:space="preserve">, </w:t>
        </w:r>
        <w:smartTag w:uri="urn:schemas-microsoft-com:office:smarttags" w:element="country-region">
          <w:r w:rsidRPr="009620AE">
            <w:rPr>
              <w:lang w:val="en-US"/>
            </w:rPr>
            <w:t>Ukraine</w:t>
          </w:r>
        </w:smartTag>
      </w:smartTag>
      <w:r w:rsidRPr="009620AE">
        <w:rPr>
          <w:lang w:val="en-US"/>
        </w:rPr>
        <w:t xml:space="preserve"> National Initiatives to Enhance Reforms (UNITER)</w:t>
      </w:r>
      <w:r w:rsidRPr="009620AE">
        <w:rPr>
          <w:lang w:val="en-US"/>
        </w:rPr>
        <w:br/>
      </w:r>
    </w:p>
    <w:p w14:paraId="7591A5E8" w14:textId="77777777" w:rsidR="007C53A0" w:rsidRPr="009620AE" w:rsidRDefault="007C53A0" w:rsidP="007C53A0">
      <w:pPr>
        <w:spacing w:after="120"/>
        <w:rPr>
          <w:lang w:val="en-US"/>
        </w:rPr>
      </w:pPr>
      <w:r w:rsidRPr="007F50CB">
        <w:rPr>
          <w:b/>
          <w:lang w:val="en-US"/>
        </w:rPr>
        <w:t xml:space="preserve">Technical Support to the Public Sector Reforms in </w:t>
      </w:r>
      <w:smartTag w:uri="urn:schemas-microsoft-com:office:smarttags" w:element="country-region">
        <w:r w:rsidRPr="007F50CB">
          <w:rPr>
            <w:b/>
            <w:lang w:val="en-US"/>
          </w:rPr>
          <w:t>Ukraine</w:t>
        </w:r>
      </w:smartTag>
      <w:r w:rsidRPr="007F50CB">
        <w:rPr>
          <w:b/>
          <w:lang w:val="en-US"/>
        </w:rPr>
        <w:t xml:space="preserve"> (Phase II) Project</w:t>
      </w:r>
      <w:r w:rsidRPr="007F50CB">
        <w:rPr>
          <w:b/>
          <w:lang w:val="en-US"/>
        </w:rPr>
        <w:br/>
      </w:r>
      <w:r w:rsidRPr="009620AE">
        <w:rPr>
          <w:lang w:val="en-US"/>
        </w:rPr>
        <w:t xml:space="preserve">Peter R. Korsby, Team Leader (15, Prorizna </w:t>
      </w:r>
      <w:smartTag w:uri="urn:schemas-microsoft-com:office:smarttags" w:element="place">
        <w:r w:rsidRPr="009620AE">
          <w:rPr>
            <w:lang w:val="en-US"/>
          </w:rPr>
          <w:t>St.</w:t>
        </w:r>
      </w:smartTag>
      <w:r w:rsidRPr="009620AE">
        <w:rPr>
          <w:lang w:val="en-US"/>
        </w:rPr>
        <w:t>, office #620, 6th floor)</w:t>
      </w:r>
    </w:p>
    <w:p w14:paraId="7591A5E9" w14:textId="77777777" w:rsidR="007C53A0" w:rsidRPr="009620AE" w:rsidRDefault="007C53A0" w:rsidP="007C53A0">
      <w:pPr>
        <w:spacing w:after="120"/>
        <w:rPr>
          <w:lang w:val="en-US"/>
        </w:rPr>
      </w:pPr>
      <w:r w:rsidRPr="009620AE">
        <w:rPr>
          <w:lang w:val="en-US"/>
        </w:rPr>
        <w:t>Jens Moller, International Expert</w:t>
      </w:r>
    </w:p>
    <w:p w14:paraId="7591A5EA" w14:textId="77777777" w:rsidR="007C53A0" w:rsidRDefault="007C53A0" w:rsidP="007C53A0">
      <w:pPr>
        <w:rPr>
          <w:b/>
          <w:lang w:val="en-US"/>
        </w:rPr>
      </w:pPr>
      <w:r>
        <w:rPr>
          <w:b/>
          <w:lang w:val="en-US"/>
        </w:rPr>
        <w:t xml:space="preserve"> </w:t>
      </w:r>
    </w:p>
    <w:p w14:paraId="7591A5EB" w14:textId="77777777" w:rsidR="007C53A0" w:rsidRPr="004C0014" w:rsidRDefault="007C53A0" w:rsidP="007C53A0">
      <w:pPr>
        <w:spacing w:after="120"/>
        <w:rPr>
          <w:lang w:val="en-US"/>
        </w:rPr>
      </w:pPr>
      <w:r>
        <w:rPr>
          <w:b/>
          <w:lang w:val="en-US"/>
        </w:rPr>
        <w:t>UNDP and CSDP team</w:t>
      </w:r>
      <w:r w:rsidRPr="00DD5B65">
        <w:rPr>
          <w:b/>
          <w:lang w:val="en-US"/>
        </w:rPr>
        <w:br/>
      </w:r>
      <w:r w:rsidRPr="004C0014">
        <w:rPr>
          <w:lang w:val="en-US"/>
        </w:rPr>
        <w:t xml:space="preserve">Ricarda RIEGER Country Director </w:t>
      </w:r>
    </w:p>
    <w:p w14:paraId="7591A5EC" w14:textId="77777777" w:rsidR="007C53A0" w:rsidRPr="004C0014" w:rsidRDefault="007C53A0" w:rsidP="007C53A0">
      <w:pPr>
        <w:spacing w:after="120"/>
        <w:rPr>
          <w:lang w:val="en-US"/>
        </w:rPr>
      </w:pPr>
      <w:r w:rsidRPr="004C0014">
        <w:rPr>
          <w:lang w:val="en-US"/>
        </w:rPr>
        <w:t>Elena PANOVA Deputy Country Director</w:t>
      </w:r>
    </w:p>
    <w:p w14:paraId="7591A5ED" w14:textId="77777777" w:rsidR="007C53A0" w:rsidRPr="001B4CBF" w:rsidRDefault="007C53A0" w:rsidP="007C53A0">
      <w:pPr>
        <w:spacing w:after="120"/>
      </w:pPr>
      <w:r w:rsidRPr="001B4CBF">
        <w:lastRenderedPageBreak/>
        <w:t xml:space="preserve">Yuliya Shcherbinina, Programme Manager, UNDP </w:t>
      </w:r>
      <w:smartTag w:uri="urn:schemas-microsoft-com:office:smarttags" w:element="place">
        <w:smartTag w:uri="urn:schemas-microsoft-com:office:smarttags" w:element="country-region">
          <w:r w:rsidRPr="001B4CBF">
            <w:t>Ukraine</w:t>
          </w:r>
        </w:smartTag>
      </w:smartTag>
    </w:p>
    <w:p w14:paraId="7591A5EE" w14:textId="77777777" w:rsidR="007C53A0" w:rsidRPr="001B4CBF" w:rsidRDefault="007C53A0" w:rsidP="007C53A0">
      <w:pPr>
        <w:spacing w:after="120"/>
      </w:pPr>
      <w:r w:rsidRPr="001B4CBF">
        <w:t>Valeriy Oliynyk, CSDP Project Manager</w:t>
      </w:r>
    </w:p>
    <w:p w14:paraId="7591A5EF" w14:textId="77777777" w:rsidR="007C53A0" w:rsidRPr="001B4CBF" w:rsidRDefault="007C53A0" w:rsidP="007C53A0">
      <w:pPr>
        <w:spacing w:after="120"/>
      </w:pPr>
      <w:r w:rsidRPr="001B4CBF">
        <w:t>Victoria Sbuelz, NGO Specialist</w:t>
      </w:r>
    </w:p>
    <w:p w14:paraId="7591A5F0" w14:textId="77777777" w:rsidR="007C53A0" w:rsidRPr="001B4CBF" w:rsidRDefault="007C53A0" w:rsidP="007C53A0">
      <w:pPr>
        <w:spacing w:after="120"/>
      </w:pPr>
      <w:r w:rsidRPr="001B4CBF">
        <w:t>Vasyl Romanyuk, Communications Expert</w:t>
      </w:r>
    </w:p>
    <w:p w14:paraId="7591A5F1" w14:textId="77777777" w:rsidR="007C53A0" w:rsidRPr="001B4CBF" w:rsidRDefault="007C53A0" w:rsidP="007C53A0">
      <w:pPr>
        <w:spacing w:after="120"/>
      </w:pPr>
      <w:r w:rsidRPr="001B4CBF">
        <w:t>Olga Chirkina, Administrative and Finance Associate</w:t>
      </w:r>
    </w:p>
    <w:p w14:paraId="7591A5F2" w14:textId="77777777" w:rsidR="007C53A0" w:rsidRPr="001B4CBF" w:rsidRDefault="007C53A0" w:rsidP="007C53A0">
      <w:pPr>
        <w:spacing w:after="120"/>
      </w:pPr>
      <w:r w:rsidRPr="001B4CBF">
        <w:t>Alyona Khort, Grant Associate</w:t>
      </w:r>
    </w:p>
    <w:p w14:paraId="7591A5F3" w14:textId="77777777" w:rsidR="007C53A0" w:rsidRDefault="007C53A0" w:rsidP="007C53A0">
      <w:pPr>
        <w:spacing w:after="120"/>
        <w:rPr>
          <w:b/>
          <w:i/>
          <w:sz w:val="26"/>
          <w:szCs w:val="26"/>
          <w:u w:val="single"/>
          <w:lang w:val="en-US"/>
        </w:rPr>
      </w:pPr>
      <w:r>
        <w:rPr>
          <w:b/>
          <w:i/>
          <w:sz w:val="26"/>
          <w:szCs w:val="26"/>
          <w:u w:val="single"/>
          <w:lang w:val="en-US"/>
        </w:rPr>
        <w:t xml:space="preserve"> </w:t>
      </w:r>
    </w:p>
    <w:p w14:paraId="7591A5F4" w14:textId="77777777" w:rsidR="007C53A0" w:rsidRPr="00DD5B65" w:rsidRDefault="007C53A0" w:rsidP="007C53A0">
      <w:pPr>
        <w:spacing w:after="120"/>
        <w:rPr>
          <w:b/>
          <w:i/>
          <w:sz w:val="26"/>
          <w:szCs w:val="26"/>
          <w:u w:val="single"/>
          <w:lang w:val="en-US"/>
        </w:rPr>
      </w:pPr>
      <w:r w:rsidRPr="00DD5B65">
        <w:rPr>
          <w:b/>
          <w:i/>
          <w:sz w:val="26"/>
          <w:szCs w:val="26"/>
          <w:u w:val="single"/>
          <w:lang w:val="en-US"/>
        </w:rPr>
        <w:t>Lviv CSOs supported by the CSDP</w:t>
      </w:r>
    </w:p>
    <w:p w14:paraId="7591A5F5" w14:textId="77777777" w:rsidR="007C53A0" w:rsidRPr="009620AE" w:rsidRDefault="007C53A0" w:rsidP="007C53A0">
      <w:pPr>
        <w:spacing w:after="120"/>
        <w:rPr>
          <w:lang w:val="en-US"/>
        </w:rPr>
      </w:pPr>
      <w:r w:rsidRPr="00DD5B65">
        <w:rPr>
          <w:b/>
          <w:lang w:val="en-US"/>
        </w:rPr>
        <w:t>Ecology People Law</w:t>
      </w:r>
      <w:r w:rsidRPr="00DD5B65">
        <w:rPr>
          <w:b/>
          <w:lang w:val="en-US"/>
        </w:rPr>
        <w:br/>
      </w:r>
      <w:r w:rsidRPr="009620AE">
        <w:rPr>
          <w:lang w:val="en-US"/>
        </w:rPr>
        <w:t>Olena Kravchenko, Executive Director</w:t>
      </w:r>
      <w:r w:rsidRPr="009620AE">
        <w:rPr>
          <w:lang w:val="en-US"/>
        </w:rPr>
        <w:br/>
        <w:t>Yelyzaveta Alekseyeva, Programme Coordinator, Lawyer</w:t>
      </w:r>
      <w:r w:rsidRPr="009620AE">
        <w:rPr>
          <w:lang w:val="en-US"/>
        </w:rPr>
        <w:br/>
        <w:t>Hanna Khomechko, Development director</w:t>
      </w:r>
      <w:r w:rsidRPr="009620AE">
        <w:rPr>
          <w:lang w:val="en-US"/>
        </w:rPr>
        <w:br/>
        <w:t>T</w:t>
      </w:r>
      <w:r>
        <w:rPr>
          <w:lang w:val="en-US"/>
        </w:rPr>
        <w:t>aras Zhyravetsky, Senior lawyer</w:t>
      </w:r>
    </w:p>
    <w:p w14:paraId="7591A5F6" w14:textId="77777777" w:rsidR="007C53A0" w:rsidRPr="009620AE" w:rsidRDefault="007C53A0" w:rsidP="007C53A0">
      <w:pPr>
        <w:spacing w:after="120"/>
        <w:rPr>
          <w:lang w:val="en-US"/>
        </w:rPr>
      </w:pPr>
      <w:r w:rsidRPr="00DD5B65">
        <w:rPr>
          <w:b/>
          <w:lang w:val="en-US"/>
        </w:rPr>
        <w:t>Green Cross Society</w:t>
      </w:r>
      <w:r w:rsidRPr="00DD5B65">
        <w:rPr>
          <w:b/>
          <w:lang w:val="en-US"/>
        </w:rPr>
        <w:br/>
      </w:r>
      <w:r w:rsidRPr="009620AE">
        <w:rPr>
          <w:lang w:val="en-US"/>
        </w:rPr>
        <w:t>Oleksandr Voloshynskyi</w:t>
      </w:r>
      <w:r w:rsidRPr="009620AE">
        <w:rPr>
          <w:lang w:val="en-US"/>
        </w:rPr>
        <w:br/>
        <w:t>Larysa Malynovych, Psychologist-Consultant, Employment Trainer</w:t>
      </w:r>
      <w:r w:rsidRPr="009620AE">
        <w:rPr>
          <w:lang w:val="en-US"/>
        </w:rPr>
        <w:br/>
        <w:t>Andriy Davydiv, Information Specialist</w:t>
      </w:r>
    </w:p>
    <w:p w14:paraId="7591A5F7" w14:textId="77777777" w:rsidR="007C53A0" w:rsidRDefault="007C53A0" w:rsidP="007C53A0">
      <w:pPr>
        <w:rPr>
          <w:lang w:val="en-US"/>
        </w:rPr>
      </w:pPr>
      <w:smartTag w:uri="urn:schemas-microsoft-com:office:smarttags" w:element="place">
        <w:smartTag w:uri="urn:schemas-microsoft-com:office:smarttags" w:element="PlaceName">
          <w:r w:rsidRPr="00DD5B65">
            <w:rPr>
              <w:b/>
              <w:lang w:val="en-US"/>
            </w:rPr>
            <w:t>West-Ukrainian</w:t>
          </w:r>
        </w:smartTag>
        <w:r w:rsidRPr="00DD5B65">
          <w:rPr>
            <w:b/>
            <w:lang w:val="en-US"/>
          </w:rPr>
          <w:t xml:space="preserve"> </w:t>
        </w:r>
        <w:smartTag w:uri="urn:schemas-microsoft-com:office:smarttags" w:element="PlaceName">
          <w:r w:rsidRPr="00DD5B65">
            <w:rPr>
              <w:b/>
              <w:lang w:val="en-US"/>
            </w:rPr>
            <w:t>Resource</w:t>
          </w:r>
        </w:smartTag>
        <w:r w:rsidRPr="00DD5B65">
          <w:rPr>
            <w:b/>
            <w:lang w:val="en-US"/>
          </w:rPr>
          <w:t xml:space="preserve"> </w:t>
        </w:r>
        <w:smartTag w:uri="urn:schemas-microsoft-com:office:smarttags" w:element="PlaceType">
          <w:r w:rsidRPr="00DD5B65">
            <w:rPr>
              <w:b/>
              <w:lang w:val="en-US"/>
            </w:rPr>
            <w:t>Center</w:t>
          </w:r>
        </w:smartTag>
      </w:smartTag>
      <w:r w:rsidRPr="00DD5B65">
        <w:rPr>
          <w:b/>
          <w:lang w:val="en-US"/>
        </w:rPr>
        <w:br/>
      </w:r>
      <w:r w:rsidRPr="009620AE">
        <w:rPr>
          <w:lang w:val="en-US"/>
        </w:rPr>
        <w:t>Vasyl Poluiko, President</w:t>
      </w:r>
      <w:r w:rsidRPr="009620AE">
        <w:rPr>
          <w:lang w:val="en-US"/>
        </w:rPr>
        <w:br/>
        <w:t>Levko Dovhan, Programmes Coordinator</w:t>
      </w:r>
      <w:r w:rsidRPr="009620AE">
        <w:rPr>
          <w:lang w:val="en-US"/>
        </w:rPr>
        <w:br/>
      </w:r>
    </w:p>
    <w:p w14:paraId="7591A5F8" w14:textId="77777777" w:rsidR="007C53A0" w:rsidRPr="009620AE" w:rsidRDefault="007C53A0" w:rsidP="007C53A0">
      <w:pPr>
        <w:spacing w:after="120"/>
        <w:rPr>
          <w:lang w:val="en-US"/>
        </w:rPr>
      </w:pPr>
      <w:r w:rsidRPr="00DD5B65">
        <w:rPr>
          <w:b/>
          <w:lang w:val="en-US"/>
        </w:rPr>
        <w:t>Lviv City Hall / Initiatives Support Center</w:t>
      </w:r>
      <w:r w:rsidRPr="00DD5B65">
        <w:rPr>
          <w:b/>
          <w:lang w:val="en-US"/>
        </w:rPr>
        <w:br/>
      </w:r>
      <w:r w:rsidRPr="009620AE">
        <w:rPr>
          <w:lang w:val="en-US"/>
        </w:rPr>
        <w:t>Victoria Dovzhyk, Chief, Economic Development Section, Lviv City Hall</w:t>
      </w:r>
      <w:r w:rsidRPr="009620AE">
        <w:rPr>
          <w:lang w:val="en-US"/>
        </w:rPr>
        <w:br/>
        <w:t>Yuri Batiuk, Vynnyky Deputy Mayor (suburban town outside Lviv)</w:t>
      </w:r>
      <w:r w:rsidRPr="009620AE">
        <w:rPr>
          <w:lang w:val="en-US"/>
        </w:rPr>
        <w:br/>
        <w:t xml:space="preserve">Taras Khoma, Vynnyky Town Council Member </w:t>
      </w:r>
      <w:r w:rsidRPr="009620AE">
        <w:rPr>
          <w:lang w:val="en-US"/>
        </w:rPr>
        <w:br/>
        <w:t xml:space="preserve">Oksana Ivasiv, NGO trainer </w:t>
      </w:r>
    </w:p>
    <w:p w14:paraId="7591A5F9" w14:textId="77777777" w:rsidR="007C53A0" w:rsidRPr="009620AE" w:rsidRDefault="007C53A0" w:rsidP="007C53A0">
      <w:pPr>
        <w:spacing w:after="120"/>
        <w:rPr>
          <w:lang w:val="en-US"/>
        </w:rPr>
      </w:pPr>
      <w:smartTag w:uri="urn:schemas-microsoft-com:office:smarttags" w:element="place">
        <w:smartTag w:uri="urn:schemas-microsoft-com:office:smarttags" w:element="PlaceName">
          <w:r w:rsidRPr="00DD5B65">
            <w:rPr>
              <w:b/>
              <w:lang w:val="en-US"/>
            </w:rPr>
            <w:t>Initiatives</w:t>
          </w:r>
        </w:smartTag>
        <w:r w:rsidRPr="00DD5B65">
          <w:rPr>
            <w:b/>
            <w:lang w:val="en-US"/>
          </w:rPr>
          <w:t xml:space="preserve"> </w:t>
        </w:r>
        <w:smartTag w:uri="urn:schemas-microsoft-com:office:smarttags" w:element="PlaceName">
          <w:r w:rsidRPr="00DD5B65">
            <w:rPr>
              <w:b/>
              <w:lang w:val="en-US"/>
            </w:rPr>
            <w:t>Support</w:t>
          </w:r>
        </w:smartTag>
        <w:r w:rsidRPr="00DD5B65">
          <w:rPr>
            <w:b/>
            <w:lang w:val="en-US"/>
          </w:rPr>
          <w:t xml:space="preserve"> </w:t>
        </w:r>
        <w:smartTag w:uri="urn:schemas-microsoft-com:office:smarttags" w:element="PlaceType">
          <w:r w:rsidRPr="00DD5B65">
            <w:rPr>
              <w:b/>
              <w:lang w:val="en-US"/>
            </w:rPr>
            <w:t>Center</w:t>
          </w:r>
        </w:smartTag>
      </w:smartTag>
      <w:r w:rsidRPr="00DD5B65">
        <w:rPr>
          <w:b/>
          <w:lang w:val="en-US"/>
        </w:rPr>
        <w:br/>
      </w:r>
      <w:r w:rsidRPr="009620AE">
        <w:rPr>
          <w:lang w:val="en-US"/>
        </w:rPr>
        <w:t>Oksana Poraiko</w:t>
      </w:r>
    </w:p>
    <w:p w14:paraId="7591A5FA" w14:textId="77777777" w:rsidR="007C53A0" w:rsidRPr="009620AE" w:rsidRDefault="007C53A0" w:rsidP="007C53A0">
      <w:pPr>
        <w:spacing w:after="120"/>
        <w:rPr>
          <w:lang w:val="en-US"/>
        </w:rPr>
      </w:pPr>
      <w:r w:rsidRPr="00DD5B65">
        <w:rPr>
          <w:b/>
          <w:lang w:val="en-US"/>
        </w:rPr>
        <w:t>Rehabilitation of People with Disabilities Foundation</w:t>
      </w:r>
      <w:r w:rsidRPr="00DD5B65">
        <w:rPr>
          <w:b/>
          <w:lang w:val="en-US"/>
        </w:rPr>
        <w:br/>
      </w:r>
      <w:r w:rsidRPr="009620AE">
        <w:rPr>
          <w:lang w:val="en-US"/>
        </w:rPr>
        <w:t>Yaroslav Hrybalskyi, Head</w:t>
      </w:r>
      <w:r w:rsidRPr="009620AE">
        <w:rPr>
          <w:lang w:val="en-US"/>
        </w:rPr>
        <w:br/>
        <w:t>Yaroslav Mudryi, Project Coordinator</w:t>
      </w:r>
      <w:r w:rsidRPr="009620AE">
        <w:rPr>
          <w:lang w:val="en-US"/>
        </w:rPr>
        <w:br/>
        <w:t>Halyna Herasym, Programmes Coordinator</w:t>
      </w:r>
    </w:p>
    <w:p w14:paraId="7591A5FB" w14:textId="77777777" w:rsidR="007C53A0" w:rsidRDefault="007C53A0" w:rsidP="007C53A0">
      <w:pPr>
        <w:spacing w:after="120"/>
        <w:rPr>
          <w:lang w:val="en-US"/>
        </w:rPr>
      </w:pPr>
      <w:smartTag w:uri="urn:schemas-microsoft-com:office:smarttags" w:element="place">
        <w:smartTag w:uri="urn:schemas-microsoft-com:office:smarttags" w:element="PlaceName">
          <w:r w:rsidRPr="00DD5B65">
            <w:rPr>
              <w:b/>
              <w:lang w:val="en-US"/>
            </w:rPr>
            <w:t>Citizen</w:t>
          </w:r>
        </w:smartTag>
        <w:r w:rsidRPr="00DD5B65">
          <w:rPr>
            <w:b/>
            <w:lang w:val="en-US"/>
          </w:rPr>
          <w:t xml:space="preserve"> </w:t>
        </w:r>
        <w:smartTag w:uri="urn:schemas-microsoft-com:office:smarttags" w:element="PlaceName">
          <w:r w:rsidRPr="00DD5B65">
            <w:rPr>
              <w:b/>
              <w:lang w:val="en-US"/>
            </w:rPr>
            <w:t>Advocacy</w:t>
          </w:r>
        </w:smartTag>
        <w:r w:rsidRPr="00DD5B65">
          <w:rPr>
            <w:b/>
            <w:lang w:val="en-US"/>
          </w:rPr>
          <w:t xml:space="preserve"> </w:t>
        </w:r>
        <w:smartTag w:uri="urn:schemas-microsoft-com:office:smarttags" w:element="PlaceType">
          <w:r w:rsidRPr="00DD5B65">
            <w:rPr>
              <w:b/>
              <w:lang w:val="en-US"/>
            </w:rPr>
            <w:t>Center</w:t>
          </w:r>
        </w:smartTag>
      </w:smartTag>
      <w:r w:rsidRPr="00DD5B65">
        <w:rPr>
          <w:b/>
          <w:lang w:val="en-US"/>
        </w:rPr>
        <w:br/>
      </w:r>
      <w:r w:rsidRPr="009620AE">
        <w:rPr>
          <w:lang w:val="en-US"/>
        </w:rPr>
        <w:t>Leonid Tarasenko, Director</w:t>
      </w:r>
      <w:r w:rsidRPr="009620AE">
        <w:rPr>
          <w:lang w:val="en-US"/>
        </w:rPr>
        <w:br/>
        <w:t>Tetyana Yatskiv, Project Manager</w:t>
      </w:r>
      <w:r w:rsidRPr="009620AE">
        <w:rPr>
          <w:lang w:val="en-US"/>
        </w:rPr>
        <w:br/>
        <w:t>Nadiya Zelinska, Lawyer</w:t>
      </w:r>
      <w:r w:rsidRPr="009620AE">
        <w:rPr>
          <w:lang w:val="en-US"/>
        </w:rPr>
        <w:br/>
        <w:t>Oksana Koval, Lawyer</w:t>
      </w:r>
      <w:r>
        <w:rPr>
          <w:lang w:val="en-US"/>
        </w:rPr>
        <w:t>.</w:t>
      </w:r>
    </w:p>
    <w:p w14:paraId="7591A5FC" w14:textId="77777777" w:rsidR="007C53A0" w:rsidRDefault="007C53A0" w:rsidP="007C53A0">
      <w:pPr>
        <w:spacing w:after="120"/>
        <w:rPr>
          <w:b/>
          <w:lang w:val="en-US"/>
        </w:rPr>
      </w:pPr>
      <w:r>
        <w:rPr>
          <w:b/>
          <w:lang w:val="en-US"/>
        </w:rPr>
        <w:t xml:space="preserve"> </w:t>
      </w:r>
    </w:p>
    <w:p w14:paraId="7591A5FD" w14:textId="77777777" w:rsidR="007C53A0" w:rsidRPr="009620AE" w:rsidRDefault="007C53A0" w:rsidP="007C53A0">
      <w:pPr>
        <w:spacing w:after="120"/>
        <w:rPr>
          <w:lang w:val="en-US"/>
        </w:rPr>
      </w:pPr>
    </w:p>
    <w:p w14:paraId="7591A5FE" w14:textId="77777777" w:rsidR="00422265" w:rsidRPr="007C53A0" w:rsidRDefault="00422265" w:rsidP="00C42D11">
      <w:pPr>
        <w:pStyle w:val="Listeafsnit1"/>
        <w:spacing w:after="120" w:line="276" w:lineRule="auto"/>
        <w:ind w:left="0"/>
        <w:rPr>
          <w:rFonts w:ascii="Garamond" w:hAnsi="Garamond"/>
          <w:lang w:val="en-US"/>
        </w:rPr>
      </w:pPr>
    </w:p>
    <w:sectPr w:rsidR="00422265" w:rsidRPr="007C53A0" w:rsidSect="003F6C9C">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1A601" w14:textId="77777777" w:rsidR="009557B1" w:rsidRDefault="009557B1" w:rsidP="00DB2EF0">
      <w:r>
        <w:separator/>
      </w:r>
    </w:p>
  </w:endnote>
  <w:endnote w:type="continuationSeparator" w:id="0">
    <w:p w14:paraId="7591A602" w14:textId="77777777" w:rsidR="009557B1" w:rsidRDefault="009557B1" w:rsidP="00DB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T1F6o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2595"/>
      <w:docPartObj>
        <w:docPartGallery w:val="Page Numbers (Bottom of Page)"/>
        <w:docPartUnique/>
      </w:docPartObj>
    </w:sdtPr>
    <w:sdtEndPr/>
    <w:sdtContent>
      <w:p w14:paraId="7591A603" w14:textId="77777777" w:rsidR="009557B1" w:rsidRDefault="009557B1">
        <w:pPr>
          <w:pStyle w:val="Footer"/>
          <w:jc w:val="right"/>
        </w:pPr>
        <w:r>
          <w:fldChar w:fldCharType="begin"/>
        </w:r>
        <w:r>
          <w:instrText xml:space="preserve"> PAGE   \* MERGEFORMAT </w:instrText>
        </w:r>
        <w:r>
          <w:fldChar w:fldCharType="separate"/>
        </w:r>
        <w:r w:rsidR="00BE4965">
          <w:rPr>
            <w:noProof/>
          </w:rPr>
          <w:t>0</w:t>
        </w:r>
        <w:r>
          <w:rPr>
            <w:noProof/>
          </w:rPr>
          <w:fldChar w:fldCharType="end"/>
        </w:r>
      </w:p>
    </w:sdtContent>
  </w:sdt>
  <w:p w14:paraId="7591A604" w14:textId="77777777" w:rsidR="009557B1" w:rsidRDefault="00955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1A5FF" w14:textId="77777777" w:rsidR="009557B1" w:rsidRDefault="009557B1" w:rsidP="00DB2EF0">
      <w:r>
        <w:separator/>
      </w:r>
    </w:p>
  </w:footnote>
  <w:footnote w:type="continuationSeparator" w:id="0">
    <w:p w14:paraId="7591A600" w14:textId="77777777" w:rsidR="009557B1" w:rsidRDefault="009557B1" w:rsidP="00DB2EF0">
      <w:r>
        <w:continuationSeparator/>
      </w:r>
    </w:p>
  </w:footnote>
  <w:footnote w:id="1">
    <w:p w14:paraId="7591A605" w14:textId="77777777" w:rsidR="009557B1" w:rsidRPr="00DC781C" w:rsidRDefault="009557B1" w:rsidP="001F4A52">
      <w:pPr>
        <w:pStyle w:val="FootnoteText"/>
        <w:spacing w:after="0" w:line="240" w:lineRule="auto"/>
      </w:pPr>
      <w:r>
        <w:rPr>
          <w:rStyle w:val="FootnoteReference"/>
        </w:rPr>
        <w:footnoteRef/>
      </w:r>
      <w:r>
        <w:t xml:space="preserve"> </w:t>
      </w:r>
      <w:r w:rsidRPr="00DC781C">
        <w:rPr>
          <w:snapToGrid w:val="0"/>
          <w:color w:val="auto"/>
          <w:sz w:val="20"/>
          <w:szCs w:val="20"/>
        </w:rPr>
        <w:t>Here the team follow</w:t>
      </w:r>
      <w:r>
        <w:rPr>
          <w:snapToGrid w:val="0"/>
          <w:color w:val="auto"/>
          <w:sz w:val="20"/>
          <w:szCs w:val="20"/>
        </w:rPr>
        <w:t>s</w:t>
      </w:r>
      <w:r w:rsidRPr="00DC781C">
        <w:rPr>
          <w:snapToGrid w:val="0"/>
          <w:color w:val="auto"/>
          <w:sz w:val="20"/>
          <w:szCs w:val="20"/>
        </w:rPr>
        <w:t xml:space="preserve"> the nomenclature in the Danish programme document. The UNDP project document ha</w:t>
      </w:r>
      <w:r>
        <w:rPr>
          <w:snapToGrid w:val="0"/>
          <w:color w:val="auto"/>
          <w:sz w:val="20"/>
          <w:szCs w:val="20"/>
        </w:rPr>
        <w:t>s</w:t>
      </w:r>
      <w:r w:rsidRPr="00DC781C">
        <w:rPr>
          <w:snapToGrid w:val="0"/>
          <w:color w:val="auto"/>
          <w:sz w:val="20"/>
          <w:szCs w:val="20"/>
        </w:rPr>
        <w:t xml:space="preserve"> two </w:t>
      </w:r>
      <w:r>
        <w:rPr>
          <w:snapToGrid w:val="0"/>
          <w:color w:val="auto"/>
          <w:sz w:val="20"/>
          <w:szCs w:val="20"/>
        </w:rPr>
        <w:t>“</w:t>
      </w:r>
      <w:r w:rsidRPr="00DC781C">
        <w:rPr>
          <w:snapToGrid w:val="0"/>
          <w:color w:val="auto"/>
          <w:sz w:val="20"/>
          <w:szCs w:val="20"/>
        </w:rPr>
        <w:t>outputs</w:t>
      </w:r>
      <w:r>
        <w:rPr>
          <w:snapToGrid w:val="0"/>
          <w:color w:val="auto"/>
          <w:sz w:val="20"/>
          <w:szCs w:val="20"/>
        </w:rPr>
        <w:t>”</w:t>
      </w:r>
      <w:r w:rsidRPr="00DC781C">
        <w:rPr>
          <w:snapToGrid w:val="0"/>
          <w:color w:val="auto"/>
          <w:sz w:val="20"/>
          <w:szCs w:val="20"/>
        </w:rPr>
        <w:t>.</w:t>
      </w:r>
      <w:r>
        <w:t xml:space="preserve">   </w:t>
      </w:r>
    </w:p>
  </w:footnote>
  <w:footnote w:id="2">
    <w:p w14:paraId="7591A606" w14:textId="77777777" w:rsidR="009557B1" w:rsidRPr="0035500C" w:rsidRDefault="009557B1" w:rsidP="001F4A52">
      <w:pPr>
        <w:rPr>
          <w:sz w:val="20"/>
          <w:szCs w:val="20"/>
        </w:rPr>
      </w:pPr>
      <w:r w:rsidRPr="0035500C">
        <w:rPr>
          <w:rStyle w:val="FootnoteReference"/>
          <w:sz w:val="20"/>
          <w:szCs w:val="20"/>
        </w:rPr>
        <w:footnoteRef/>
      </w:r>
      <w:r w:rsidRPr="0035500C">
        <w:rPr>
          <w:sz w:val="20"/>
          <w:szCs w:val="20"/>
        </w:rPr>
        <w:t xml:space="preserve"> Guidelines for Support to Civil Society Organisations in Reform Processes in Ukraine (Sida 2009). Another source is the CCC study: “Civil Society Organizations in Ukraine: The State and Dynamics. 2002-</w:t>
      </w:r>
      <w:smartTag w:uri="urn:schemas-microsoft-com:office:smarttags" w:element="metricconverter">
        <w:smartTagPr>
          <w:attr w:name="ProductID" w:val="2010”"/>
        </w:smartTagPr>
        <w:r w:rsidRPr="0035500C">
          <w:rPr>
            <w:sz w:val="20"/>
            <w:szCs w:val="20"/>
          </w:rPr>
          <w:t>2010”</w:t>
        </w:r>
      </w:smartTag>
      <w:r w:rsidRPr="0035500C">
        <w:rPr>
          <w:sz w:val="20"/>
          <w:szCs w:val="20"/>
        </w:rPr>
        <w:t>.</w:t>
      </w:r>
    </w:p>
  </w:footnote>
  <w:footnote w:id="3">
    <w:p w14:paraId="7591A607" w14:textId="77777777" w:rsidR="009557B1" w:rsidRPr="0035500C" w:rsidRDefault="009557B1" w:rsidP="001F4A52">
      <w:pPr>
        <w:pStyle w:val="FootnoteText"/>
        <w:spacing w:after="0" w:line="240" w:lineRule="auto"/>
        <w:rPr>
          <w:sz w:val="20"/>
          <w:szCs w:val="20"/>
        </w:rPr>
      </w:pPr>
      <w:r w:rsidRPr="00E51A4A">
        <w:rPr>
          <w:rStyle w:val="FootnoteReference"/>
        </w:rPr>
        <w:footnoteRef/>
      </w:r>
      <w:r w:rsidRPr="00E51A4A">
        <w:t xml:space="preserve"> </w:t>
      </w:r>
      <w:r w:rsidRPr="0035500C">
        <w:rPr>
          <w:sz w:val="20"/>
          <w:szCs w:val="20"/>
        </w:rPr>
        <w:t>See USAID’s ‘2010 NGO Sustainability Index for Central and Eastern Europe and Eurasia’.</w:t>
      </w:r>
    </w:p>
  </w:footnote>
  <w:footnote w:id="4">
    <w:p w14:paraId="7591A608" w14:textId="77777777" w:rsidR="009557B1" w:rsidRPr="00E51A4A" w:rsidRDefault="009557B1" w:rsidP="002B0A63">
      <w:pPr>
        <w:pStyle w:val="FootnoteText"/>
        <w:spacing w:after="0" w:line="240" w:lineRule="auto"/>
      </w:pPr>
      <w:r w:rsidRPr="00E51A4A">
        <w:rPr>
          <w:rStyle w:val="FootnoteReference"/>
        </w:rPr>
        <w:footnoteRef/>
      </w:r>
      <w:r w:rsidRPr="00E51A4A">
        <w:t xml:space="preserve"> </w:t>
      </w:r>
      <w:r w:rsidRPr="00A90881">
        <w:rPr>
          <w:sz w:val="20"/>
          <w:szCs w:val="20"/>
        </w:rPr>
        <w:t>From various OECD/DAC publications and CIDA’s publication: CAPACITY DEVELOPMENT: WHY, WHAT AND HOW. 2000.</w:t>
      </w:r>
    </w:p>
  </w:footnote>
  <w:footnote w:id="5">
    <w:p w14:paraId="7591A609" w14:textId="77777777" w:rsidR="009557B1" w:rsidRPr="00A90881" w:rsidRDefault="009557B1" w:rsidP="002B0A63">
      <w:pPr>
        <w:rPr>
          <w:sz w:val="20"/>
          <w:szCs w:val="20"/>
        </w:rPr>
      </w:pPr>
      <w:r w:rsidRPr="00E51A4A">
        <w:rPr>
          <w:rStyle w:val="FootnoteReference"/>
        </w:rPr>
        <w:footnoteRef/>
      </w:r>
      <w:r w:rsidRPr="00E51A4A">
        <w:t xml:space="preserve"> </w:t>
      </w:r>
      <w:r w:rsidRPr="00A90881">
        <w:rPr>
          <w:sz w:val="20"/>
          <w:szCs w:val="20"/>
        </w:rPr>
        <w:t>The British INTRAC has published a number of good publications about international concepts and practices on aid effectiveness and organisational development of CSOs, of which several have been translated into Russian.</w:t>
      </w:r>
      <w:r w:rsidRPr="00A90881">
        <w:rPr>
          <w:rStyle w:val="FootnoteReference"/>
          <w:sz w:val="20"/>
          <w:szCs w:val="20"/>
        </w:rPr>
        <w:footnoteRef/>
      </w:r>
    </w:p>
  </w:footnote>
  <w:footnote w:id="6">
    <w:p w14:paraId="7591A60A" w14:textId="77777777" w:rsidR="009557B1" w:rsidRPr="00C42D11" w:rsidRDefault="009557B1" w:rsidP="001F4A52">
      <w:pPr>
        <w:pStyle w:val="FootnoteText"/>
        <w:spacing w:after="0" w:line="240" w:lineRule="auto"/>
        <w:rPr>
          <w:sz w:val="20"/>
          <w:szCs w:val="20"/>
          <w:lang w:val="en-US"/>
        </w:rPr>
      </w:pPr>
      <w:r w:rsidRPr="00C42D11">
        <w:rPr>
          <w:rStyle w:val="FootnoteReference"/>
          <w:sz w:val="20"/>
          <w:szCs w:val="20"/>
        </w:rPr>
        <w:footnoteRef/>
      </w:r>
      <w:r w:rsidRPr="00C42D11">
        <w:rPr>
          <w:sz w:val="20"/>
          <w:szCs w:val="20"/>
        </w:rPr>
        <w:t xml:space="preserve"> </w:t>
      </w:r>
      <w:r w:rsidRPr="00C42D11">
        <w:rPr>
          <w:sz w:val="20"/>
          <w:szCs w:val="20"/>
          <w:lang w:val="en-US"/>
        </w:rPr>
        <w:t>EIU Cou</w:t>
      </w:r>
      <w:r>
        <w:rPr>
          <w:sz w:val="20"/>
          <w:szCs w:val="20"/>
          <w:lang w:val="en-US"/>
        </w:rPr>
        <w:t>n</w:t>
      </w:r>
      <w:r w:rsidRPr="00C42D11">
        <w:rPr>
          <w:sz w:val="20"/>
          <w:szCs w:val="20"/>
          <w:lang w:val="en-US"/>
        </w:rPr>
        <w:t>t</w:t>
      </w:r>
      <w:r>
        <w:rPr>
          <w:sz w:val="20"/>
          <w:szCs w:val="20"/>
          <w:lang w:val="en-US"/>
        </w:rPr>
        <w:t>r</w:t>
      </w:r>
      <w:r w:rsidRPr="00C42D11">
        <w:rPr>
          <w:sz w:val="20"/>
          <w:szCs w:val="20"/>
          <w:lang w:val="en-US"/>
        </w:rPr>
        <w:t xml:space="preserve">y Report, Ukraine August 2011 </w:t>
      </w:r>
    </w:p>
  </w:footnote>
  <w:footnote w:id="7">
    <w:p w14:paraId="7591A60B" w14:textId="77777777" w:rsidR="009557B1" w:rsidRPr="00C42D11" w:rsidRDefault="009557B1" w:rsidP="001F4A52">
      <w:pPr>
        <w:pStyle w:val="FootnoteText"/>
        <w:spacing w:after="0" w:line="240" w:lineRule="auto"/>
        <w:rPr>
          <w:sz w:val="20"/>
          <w:szCs w:val="20"/>
          <w:lang w:val="en-US"/>
        </w:rPr>
      </w:pPr>
      <w:r w:rsidRPr="00C42D11">
        <w:rPr>
          <w:rStyle w:val="FootnoteReference"/>
          <w:sz w:val="20"/>
          <w:szCs w:val="20"/>
        </w:rPr>
        <w:footnoteRef/>
      </w:r>
      <w:r w:rsidRPr="00C42D11">
        <w:rPr>
          <w:sz w:val="20"/>
          <w:szCs w:val="20"/>
        </w:rPr>
        <w:t xml:space="preserve"> </w:t>
      </w:r>
      <w:r>
        <w:rPr>
          <w:sz w:val="20"/>
          <w:szCs w:val="20"/>
        </w:rPr>
        <w:t xml:space="preserve">All figures are from: </w:t>
      </w:r>
      <w:r w:rsidRPr="00C42D11">
        <w:rPr>
          <w:sz w:val="20"/>
          <w:szCs w:val="20"/>
          <w:lang w:val="en-US"/>
        </w:rPr>
        <w:t xml:space="preserve">UNDP: National Human development report: Ukraine: </w:t>
      </w:r>
      <w:r>
        <w:rPr>
          <w:sz w:val="20"/>
          <w:szCs w:val="20"/>
          <w:lang w:val="en-US"/>
        </w:rPr>
        <w:t>T</w:t>
      </w:r>
      <w:r w:rsidRPr="00C42D11">
        <w:rPr>
          <w:sz w:val="20"/>
          <w:szCs w:val="20"/>
          <w:lang w:val="en-US"/>
        </w:rPr>
        <w:t>owards social inclusion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EA8B3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86B25C7"/>
    <w:multiLevelType w:val="hybridMultilevel"/>
    <w:tmpl w:val="1AA476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8AD0186"/>
    <w:multiLevelType w:val="hybridMultilevel"/>
    <w:tmpl w:val="4E0C912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0F5F6969"/>
    <w:multiLevelType w:val="hybridMultilevel"/>
    <w:tmpl w:val="560C7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F7A6E89"/>
    <w:multiLevelType w:val="hybridMultilevel"/>
    <w:tmpl w:val="855A44D4"/>
    <w:lvl w:ilvl="0" w:tplc="04060017">
      <w:start w:val="1"/>
      <w:numFmt w:val="lowerLetter"/>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1645079"/>
    <w:multiLevelType w:val="hybridMultilevel"/>
    <w:tmpl w:val="D2F80E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3BF40E7"/>
    <w:multiLevelType w:val="hybridMultilevel"/>
    <w:tmpl w:val="48DC90B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7">
    <w:nsid w:val="14D61A75"/>
    <w:multiLevelType w:val="multilevel"/>
    <w:tmpl w:val="769CAD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5A5129"/>
    <w:multiLevelType w:val="hybridMultilevel"/>
    <w:tmpl w:val="CB74A07E"/>
    <w:lvl w:ilvl="0" w:tplc="FBF0E83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0B60F68"/>
    <w:multiLevelType w:val="hybridMultilevel"/>
    <w:tmpl w:val="59B29DBC"/>
    <w:lvl w:ilvl="0" w:tplc="E0387004">
      <w:start w:val="1"/>
      <w:numFmt w:val="bullet"/>
      <w:lvlText w:val=""/>
      <w:lvlJc w:val="left"/>
      <w:pPr>
        <w:tabs>
          <w:tab w:val="num" w:pos="680"/>
        </w:tabs>
        <w:ind w:left="680"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77F6E2C"/>
    <w:multiLevelType w:val="hybridMultilevel"/>
    <w:tmpl w:val="DCF05F6E"/>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2BF50366"/>
    <w:multiLevelType w:val="hybridMultilevel"/>
    <w:tmpl w:val="71AEA6F4"/>
    <w:lvl w:ilvl="0" w:tplc="04060015">
      <w:start w:val="1"/>
      <w:numFmt w:val="upperLetter"/>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67D85764">
      <w:numFmt w:val="bullet"/>
      <w:lvlText w:val="-"/>
      <w:lvlJc w:val="left"/>
      <w:pPr>
        <w:ind w:left="2340" w:hanging="360"/>
      </w:pPr>
      <w:rPr>
        <w:rFonts w:ascii="Garamond" w:eastAsia="Times New Roman" w:hAnsi="Garamond" w:cs="Times New Roman" w:hint="default"/>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2CF4471A"/>
    <w:multiLevelType w:val="hybridMultilevel"/>
    <w:tmpl w:val="3C90C94A"/>
    <w:lvl w:ilvl="0" w:tplc="C55E55D2">
      <w:start w:val="11"/>
      <w:numFmt w:val="bullet"/>
      <w:lvlText w:val=""/>
      <w:lvlJc w:val="left"/>
      <w:pPr>
        <w:tabs>
          <w:tab w:val="num" w:pos="720"/>
        </w:tabs>
        <w:ind w:left="720" w:hanging="360"/>
      </w:pPr>
      <w:rPr>
        <w:rFonts w:ascii="Symbol" w:eastAsia="Levenim MT" w:hAnsi="Symbol" w:cs="Levenim MT" w:hint="default"/>
      </w:rPr>
    </w:lvl>
    <w:lvl w:ilvl="1" w:tplc="AB44FC8C">
      <w:start w:val="10"/>
      <w:numFmt w:val="bullet"/>
      <w:lvlText w:val="-"/>
      <w:lvlJc w:val="left"/>
      <w:pPr>
        <w:tabs>
          <w:tab w:val="num" w:pos="1440"/>
        </w:tabs>
        <w:ind w:left="1440" w:hanging="360"/>
      </w:pPr>
      <w:rPr>
        <w:rFonts w:ascii="Times New Roman" w:eastAsia="Times New Roman"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DAD0015"/>
    <w:multiLevelType w:val="hybridMultilevel"/>
    <w:tmpl w:val="9A86B3C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cs="Times New Roman"/>
      </w:rPr>
    </w:lvl>
    <w:lvl w:ilvl="2" w:tplc="67D85764">
      <w:numFmt w:val="bullet"/>
      <w:lvlText w:val="-"/>
      <w:lvlJc w:val="left"/>
      <w:pPr>
        <w:ind w:left="2340" w:hanging="360"/>
      </w:pPr>
      <w:rPr>
        <w:rFonts w:ascii="Garamond" w:eastAsia="Times New Roman" w:hAnsi="Garamond" w:cs="Times New Roman" w:hint="default"/>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42E343A7"/>
    <w:multiLevelType w:val="hybridMultilevel"/>
    <w:tmpl w:val="4A88D36C"/>
    <w:lvl w:ilvl="0" w:tplc="FBF0E830">
      <w:start w:val="1"/>
      <w:numFmt w:val="bullet"/>
      <w:lvlText w:val=""/>
      <w:lvlJc w:val="left"/>
      <w:pPr>
        <w:ind w:left="432" w:hanging="360"/>
      </w:pPr>
      <w:rPr>
        <w:rFonts w:ascii="Symbol" w:hAnsi="Symbol" w:hint="default"/>
      </w:rPr>
    </w:lvl>
    <w:lvl w:ilvl="1" w:tplc="04060003" w:tentative="1">
      <w:start w:val="1"/>
      <w:numFmt w:val="bullet"/>
      <w:lvlText w:val="o"/>
      <w:lvlJc w:val="left"/>
      <w:pPr>
        <w:ind w:left="1152" w:hanging="360"/>
      </w:pPr>
      <w:rPr>
        <w:rFonts w:ascii="Courier New" w:hAnsi="Courier New" w:cs="Courier New" w:hint="default"/>
      </w:rPr>
    </w:lvl>
    <w:lvl w:ilvl="2" w:tplc="04060005" w:tentative="1">
      <w:start w:val="1"/>
      <w:numFmt w:val="bullet"/>
      <w:lvlText w:val=""/>
      <w:lvlJc w:val="left"/>
      <w:pPr>
        <w:ind w:left="1872" w:hanging="360"/>
      </w:pPr>
      <w:rPr>
        <w:rFonts w:ascii="Wingdings" w:hAnsi="Wingdings" w:hint="default"/>
      </w:rPr>
    </w:lvl>
    <w:lvl w:ilvl="3" w:tplc="04060001" w:tentative="1">
      <w:start w:val="1"/>
      <w:numFmt w:val="bullet"/>
      <w:lvlText w:val=""/>
      <w:lvlJc w:val="left"/>
      <w:pPr>
        <w:ind w:left="2592" w:hanging="360"/>
      </w:pPr>
      <w:rPr>
        <w:rFonts w:ascii="Symbol" w:hAnsi="Symbol" w:hint="default"/>
      </w:rPr>
    </w:lvl>
    <w:lvl w:ilvl="4" w:tplc="04060003" w:tentative="1">
      <w:start w:val="1"/>
      <w:numFmt w:val="bullet"/>
      <w:lvlText w:val="o"/>
      <w:lvlJc w:val="left"/>
      <w:pPr>
        <w:ind w:left="3312" w:hanging="360"/>
      </w:pPr>
      <w:rPr>
        <w:rFonts w:ascii="Courier New" w:hAnsi="Courier New" w:cs="Courier New" w:hint="default"/>
      </w:rPr>
    </w:lvl>
    <w:lvl w:ilvl="5" w:tplc="04060005" w:tentative="1">
      <w:start w:val="1"/>
      <w:numFmt w:val="bullet"/>
      <w:lvlText w:val=""/>
      <w:lvlJc w:val="left"/>
      <w:pPr>
        <w:ind w:left="4032" w:hanging="360"/>
      </w:pPr>
      <w:rPr>
        <w:rFonts w:ascii="Wingdings" w:hAnsi="Wingdings" w:hint="default"/>
      </w:rPr>
    </w:lvl>
    <w:lvl w:ilvl="6" w:tplc="04060001" w:tentative="1">
      <w:start w:val="1"/>
      <w:numFmt w:val="bullet"/>
      <w:lvlText w:val=""/>
      <w:lvlJc w:val="left"/>
      <w:pPr>
        <w:ind w:left="4752" w:hanging="360"/>
      </w:pPr>
      <w:rPr>
        <w:rFonts w:ascii="Symbol" w:hAnsi="Symbol" w:hint="default"/>
      </w:rPr>
    </w:lvl>
    <w:lvl w:ilvl="7" w:tplc="04060003" w:tentative="1">
      <w:start w:val="1"/>
      <w:numFmt w:val="bullet"/>
      <w:lvlText w:val="o"/>
      <w:lvlJc w:val="left"/>
      <w:pPr>
        <w:ind w:left="5472" w:hanging="360"/>
      </w:pPr>
      <w:rPr>
        <w:rFonts w:ascii="Courier New" w:hAnsi="Courier New" w:cs="Courier New" w:hint="default"/>
      </w:rPr>
    </w:lvl>
    <w:lvl w:ilvl="8" w:tplc="04060005" w:tentative="1">
      <w:start w:val="1"/>
      <w:numFmt w:val="bullet"/>
      <w:lvlText w:val=""/>
      <w:lvlJc w:val="left"/>
      <w:pPr>
        <w:ind w:left="6192" w:hanging="360"/>
      </w:pPr>
      <w:rPr>
        <w:rFonts w:ascii="Wingdings" w:hAnsi="Wingdings" w:hint="default"/>
      </w:rPr>
    </w:lvl>
  </w:abstractNum>
  <w:abstractNum w:abstractNumId="15">
    <w:nsid w:val="48AE10A2"/>
    <w:multiLevelType w:val="hybridMultilevel"/>
    <w:tmpl w:val="277C4D1A"/>
    <w:lvl w:ilvl="0" w:tplc="AF4A54B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9AA3B33"/>
    <w:multiLevelType w:val="hybridMultilevel"/>
    <w:tmpl w:val="C3481AF6"/>
    <w:lvl w:ilvl="0" w:tplc="AF4A54B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A916A29"/>
    <w:multiLevelType w:val="hybridMultilevel"/>
    <w:tmpl w:val="FBC447E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DAD3052"/>
    <w:multiLevelType w:val="hybridMultilevel"/>
    <w:tmpl w:val="021405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4F8609A3"/>
    <w:multiLevelType w:val="hybridMultilevel"/>
    <w:tmpl w:val="5BC061F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50163338"/>
    <w:multiLevelType w:val="multilevel"/>
    <w:tmpl w:val="70247E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5"/>
        </w:tabs>
        <w:ind w:left="-1265" w:hanging="720"/>
      </w:pPr>
      <w:rPr>
        <w:rFonts w:hint="default"/>
      </w:rPr>
    </w:lvl>
    <w:lvl w:ilvl="2">
      <w:start w:val="1"/>
      <w:numFmt w:val="decimal"/>
      <w:lvlText w:val="%1.%2.%3."/>
      <w:lvlJc w:val="left"/>
      <w:pPr>
        <w:tabs>
          <w:tab w:val="num" w:pos="-3250"/>
        </w:tabs>
        <w:ind w:left="-3250" w:hanging="720"/>
      </w:pPr>
      <w:rPr>
        <w:rFonts w:hint="default"/>
      </w:rPr>
    </w:lvl>
    <w:lvl w:ilvl="3">
      <w:start w:val="1"/>
      <w:numFmt w:val="decimal"/>
      <w:lvlText w:val="%1.%2.%3.%4."/>
      <w:lvlJc w:val="left"/>
      <w:pPr>
        <w:tabs>
          <w:tab w:val="num" w:pos="-4875"/>
        </w:tabs>
        <w:ind w:left="-4875" w:hanging="1080"/>
      </w:pPr>
      <w:rPr>
        <w:rFonts w:hint="default"/>
      </w:rPr>
    </w:lvl>
    <w:lvl w:ilvl="4">
      <w:start w:val="1"/>
      <w:numFmt w:val="decimal"/>
      <w:lvlText w:val="%1.%2.%3.%4.%5."/>
      <w:lvlJc w:val="left"/>
      <w:pPr>
        <w:tabs>
          <w:tab w:val="num" w:pos="-6500"/>
        </w:tabs>
        <w:ind w:left="-6500" w:hanging="1440"/>
      </w:pPr>
      <w:rPr>
        <w:rFonts w:hint="default"/>
      </w:rPr>
    </w:lvl>
    <w:lvl w:ilvl="5">
      <w:start w:val="1"/>
      <w:numFmt w:val="decimal"/>
      <w:lvlText w:val="%1.%2.%3.%4.%5.%6."/>
      <w:lvlJc w:val="left"/>
      <w:pPr>
        <w:tabs>
          <w:tab w:val="num" w:pos="-8485"/>
        </w:tabs>
        <w:ind w:left="-8485" w:hanging="1440"/>
      </w:pPr>
      <w:rPr>
        <w:rFonts w:hint="default"/>
      </w:rPr>
    </w:lvl>
    <w:lvl w:ilvl="6">
      <w:start w:val="1"/>
      <w:numFmt w:val="decimal"/>
      <w:lvlText w:val="%1.%2.%3.%4.%5.%6.%7."/>
      <w:lvlJc w:val="left"/>
      <w:pPr>
        <w:tabs>
          <w:tab w:val="num" w:pos="-10110"/>
        </w:tabs>
        <w:ind w:left="-10110" w:hanging="1800"/>
      </w:pPr>
      <w:rPr>
        <w:rFonts w:hint="default"/>
      </w:rPr>
    </w:lvl>
    <w:lvl w:ilvl="7">
      <w:start w:val="1"/>
      <w:numFmt w:val="decimal"/>
      <w:lvlText w:val="%1.%2.%3.%4.%5.%6.%7.%8."/>
      <w:lvlJc w:val="left"/>
      <w:pPr>
        <w:tabs>
          <w:tab w:val="num" w:pos="-11735"/>
        </w:tabs>
        <w:ind w:left="-11735" w:hanging="2160"/>
      </w:pPr>
      <w:rPr>
        <w:rFonts w:hint="default"/>
      </w:rPr>
    </w:lvl>
    <w:lvl w:ilvl="8">
      <w:start w:val="1"/>
      <w:numFmt w:val="decimal"/>
      <w:lvlText w:val="%1.%2.%3.%4.%5.%6.%7.%8.%9."/>
      <w:lvlJc w:val="left"/>
      <w:pPr>
        <w:tabs>
          <w:tab w:val="num" w:pos="-13720"/>
        </w:tabs>
        <w:ind w:left="-13720" w:hanging="2160"/>
      </w:pPr>
      <w:rPr>
        <w:rFonts w:hint="default"/>
      </w:rPr>
    </w:lvl>
  </w:abstractNum>
  <w:abstractNum w:abstractNumId="21">
    <w:nsid w:val="52A728EB"/>
    <w:multiLevelType w:val="hybridMultilevel"/>
    <w:tmpl w:val="CF92C7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58E7ABB"/>
    <w:multiLevelType w:val="hybridMultilevel"/>
    <w:tmpl w:val="666A5EA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570E74A6"/>
    <w:multiLevelType w:val="hybridMultilevel"/>
    <w:tmpl w:val="E3D29812"/>
    <w:lvl w:ilvl="0" w:tplc="7CAA14AE">
      <w:start w:val="1"/>
      <w:numFmt w:val="bullet"/>
      <w:pStyle w:val="ListBulletNoSpace"/>
      <w:lvlText w:val=""/>
      <w:lvlJc w:val="left"/>
      <w:pPr>
        <w:tabs>
          <w:tab w:val="num" w:pos="216"/>
        </w:tabs>
        <w:ind w:left="216" w:hanging="216"/>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A35731"/>
    <w:multiLevelType w:val="hybridMultilevel"/>
    <w:tmpl w:val="AA506BB2"/>
    <w:lvl w:ilvl="0" w:tplc="0406000F">
      <w:start w:val="9"/>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63091ADF"/>
    <w:multiLevelType w:val="hybridMultilevel"/>
    <w:tmpl w:val="F1CA568C"/>
    <w:lvl w:ilvl="0" w:tplc="B046DAC6">
      <w:start w:val="1"/>
      <w:numFmt w:val="lowerLetter"/>
      <w:lvlText w:val="%1)"/>
      <w:lvlJc w:val="left"/>
      <w:pPr>
        <w:tabs>
          <w:tab w:val="num" w:pos="794"/>
        </w:tabs>
        <w:ind w:left="794" w:hanging="434"/>
      </w:pPr>
      <w:rPr>
        <w:rFont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56110F9"/>
    <w:multiLevelType w:val="hybridMultilevel"/>
    <w:tmpl w:val="AF1A178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5861E03"/>
    <w:multiLevelType w:val="hybridMultilevel"/>
    <w:tmpl w:val="0E8ED5EE"/>
    <w:lvl w:ilvl="0" w:tplc="04060017">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6736461A"/>
    <w:multiLevelType w:val="hybridMultilevel"/>
    <w:tmpl w:val="2124C0E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nsid w:val="790E6AB6"/>
    <w:multiLevelType w:val="hybridMultilevel"/>
    <w:tmpl w:val="4F94596E"/>
    <w:lvl w:ilvl="0" w:tplc="FBF0E83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9E22DB3"/>
    <w:multiLevelType w:val="hybridMultilevel"/>
    <w:tmpl w:val="DF80E156"/>
    <w:lvl w:ilvl="0" w:tplc="2B12B76A">
      <w:start w:val="1"/>
      <w:numFmt w:val="lowerLetter"/>
      <w:lvlText w:val="%1)"/>
      <w:lvlJc w:val="left"/>
      <w:pPr>
        <w:tabs>
          <w:tab w:val="num" w:pos="720"/>
        </w:tabs>
        <w:ind w:left="720" w:hanging="360"/>
      </w:pPr>
      <w:rPr>
        <w:rFonts w:hint="default"/>
        <w:lang w:val="en-US"/>
      </w:rPr>
    </w:lvl>
    <w:lvl w:ilvl="1" w:tplc="E0387004">
      <w:start w:val="1"/>
      <w:numFmt w:val="bullet"/>
      <w:lvlText w:val=""/>
      <w:lvlJc w:val="left"/>
      <w:pPr>
        <w:tabs>
          <w:tab w:val="num" w:pos="1363"/>
        </w:tabs>
        <w:ind w:left="1363" w:hanging="283"/>
      </w:pPr>
      <w:rPr>
        <w:rFonts w:ascii="Symbol" w:hAnsi="Symbol" w:hint="default"/>
        <w:lang w:val="en-US"/>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6"/>
  </w:num>
  <w:num w:numId="4">
    <w:abstractNumId w:val="29"/>
  </w:num>
  <w:num w:numId="5">
    <w:abstractNumId w:val="14"/>
  </w:num>
  <w:num w:numId="6">
    <w:abstractNumId w:val="19"/>
  </w:num>
  <w:num w:numId="7">
    <w:abstractNumId w:val="22"/>
  </w:num>
  <w:num w:numId="8">
    <w:abstractNumId w:val="3"/>
  </w:num>
  <w:num w:numId="9">
    <w:abstractNumId w:val="12"/>
  </w:num>
  <w:num w:numId="10">
    <w:abstractNumId w:val="9"/>
  </w:num>
  <w:num w:numId="11">
    <w:abstractNumId w:val="25"/>
  </w:num>
  <w:num w:numId="12">
    <w:abstractNumId w:val="30"/>
  </w:num>
  <w:num w:numId="13">
    <w:abstractNumId w:val="24"/>
  </w:num>
  <w:num w:numId="14">
    <w:abstractNumId w:val="11"/>
  </w:num>
  <w:num w:numId="15">
    <w:abstractNumId w:val="2"/>
  </w:num>
  <w:num w:numId="16">
    <w:abstractNumId w:val="28"/>
  </w:num>
  <w:num w:numId="17">
    <w:abstractNumId w:val="10"/>
  </w:num>
  <w:num w:numId="18">
    <w:abstractNumId w:val="15"/>
  </w:num>
  <w:num w:numId="19">
    <w:abstractNumId w:val="18"/>
  </w:num>
  <w:num w:numId="20">
    <w:abstractNumId w:val="16"/>
  </w:num>
  <w:num w:numId="21">
    <w:abstractNumId w:val="27"/>
  </w:num>
  <w:num w:numId="22">
    <w:abstractNumId w:val="17"/>
  </w:num>
  <w:num w:numId="23">
    <w:abstractNumId w:val="4"/>
  </w:num>
  <w:num w:numId="24">
    <w:abstractNumId w:val="26"/>
  </w:num>
  <w:num w:numId="25">
    <w:abstractNumId w:val="1"/>
  </w:num>
  <w:num w:numId="26">
    <w:abstractNumId w:val="13"/>
  </w:num>
  <w:num w:numId="27">
    <w:abstractNumId w:val="21"/>
  </w:num>
  <w:num w:numId="28">
    <w:abstractNumId w:val="5"/>
  </w:num>
  <w:num w:numId="29">
    <w:abstractNumId w:val="0"/>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58"/>
    <w:rsid w:val="00004CE3"/>
    <w:rsid w:val="00006D72"/>
    <w:rsid w:val="00023E79"/>
    <w:rsid w:val="0002421A"/>
    <w:rsid w:val="00033AA8"/>
    <w:rsid w:val="00084578"/>
    <w:rsid w:val="000A19F2"/>
    <w:rsid w:val="000A39C3"/>
    <w:rsid w:val="000B5110"/>
    <w:rsid w:val="000D3ABC"/>
    <w:rsid w:val="000D41D8"/>
    <w:rsid w:val="000D657B"/>
    <w:rsid w:val="000E347D"/>
    <w:rsid w:val="001034AA"/>
    <w:rsid w:val="00104E01"/>
    <w:rsid w:val="00111C7A"/>
    <w:rsid w:val="001147EA"/>
    <w:rsid w:val="00114C8F"/>
    <w:rsid w:val="00123DC6"/>
    <w:rsid w:val="00137275"/>
    <w:rsid w:val="0016390D"/>
    <w:rsid w:val="00174897"/>
    <w:rsid w:val="0019528D"/>
    <w:rsid w:val="0019626D"/>
    <w:rsid w:val="00196AA4"/>
    <w:rsid w:val="001C0361"/>
    <w:rsid w:val="001C04DB"/>
    <w:rsid w:val="001D03A7"/>
    <w:rsid w:val="001D17A4"/>
    <w:rsid w:val="001F4A52"/>
    <w:rsid w:val="00204371"/>
    <w:rsid w:val="002143FC"/>
    <w:rsid w:val="00224401"/>
    <w:rsid w:val="002326DD"/>
    <w:rsid w:val="00240B2B"/>
    <w:rsid w:val="00250E55"/>
    <w:rsid w:val="00252B3C"/>
    <w:rsid w:val="002540D7"/>
    <w:rsid w:val="0025727F"/>
    <w:rsid w:val="002742CE"/>
    <w:rsid w:val="00277942"/>
    <w:rsid w:val="0029544C"/>
    <w:rsid w:val="002A6FB8"/>
    <w:rsid w:val="002B0A63"/>
    <w:rsid w:val="002D6DC9"/>
    <w:rsid w:val="002F615C"/>
    <w:rsid w:val="00307AC4"/>
    <w:rsid w:val="00324378"/>
    <w:rsid w:val="00325651"/>
    <w:rsid w:val="003316DF"/>
    <w:rsid w:val="00335311"/>
    <w:rsid w:val="00351CBB"/>
    <w:rsid w:val="0035500C"/>
    <w:rsid w:val="00363A3C"/>
    <w:rsid w:val="00367D10"/>
    <w:rsid w:val="00382C23"/>
    <w:rsid w:val="00392182"/>
    <w:rsid w:val="003A2784"/>
    <w:rsid w:val="003B0191"/>
    <w:rsid w:val="003F44A8"/>
    <w:rsid w:val="003F6C9C"/>
    <w:rsid w:val="004050CA"/>
    <w:rsid w:val="00405375"/>
    <w:rsid w:val="00422265"/>
    <w:rsid w:val="00437C17"/>
    <w:rsid w:val="0048099C"/>
    <w:rsid w:val="00482ED8"/>
    <w:rsid w:val="004A633E"/>
    <w:rsid w:val="004C447E"/>
    <w:rsid w:val="004C693F"/>
    <w:rsid w:val="004D0BD8"/>
    <w:rsid w:val="004F123A"/>
    <w:rsid w:val="004F40A5"/>
    <w:rsid w:val="004F6C46"/>
    <w:rsid w:val="004F6E1E"/>
    <w:rsid w:val="005262DE"/>
    <w:rsid w:val="00543613"/>
    <w:rsid w:val="0055187D"/>
    <w:rsid w:val="005553B1"/>
    <w:rsid w:val="005950BE"/>
    <w:rsid w:val="005A152F"/>
    <w:rsid w:val="005E6E32"/>
    <w:rsid w:val="00602958"/>
    <w:rsid w:val="006116B9"/>
    <w:rsid w:val="00616494"/>
    <w:rsid w:val="0062795B"/>
    <w:rsid w:val="00646197"/>
    <w:rsid w:val="006718F1"/>
    <w:rsid w:val="00675741"/>
    <w:rsid w:val="00680288"/>
    <w:rsid w:val="00685209"/>
    <w:rsid w:val="006B1C6A"/>
    <w:rsid w:val="006B4CAC"/>
    <w:rsid w:val="006C690D"/>
    <w:rsid w:val="006D6D94"/>
    <w:rsid w:val="006D7C3D"/>
    <w:rsid w:val="006E10F7"/>
    <w:rsid w:val="00717121"/>
    <w:rsid w:val="0076241B"/>
    <w:rsid w:val="007A113F"/>
    <w:rsid w:val="007A31EF"/>
    <w:rsid w:val="007B3DC2"/>
    <w:rsid w:val="007B7118"/>
    <w:rsid w:val="007C53A0"/>
    <w:rsid w:val="008009C3"/>
    <w:rsid w:val="0080352D"/>
    <w:rsid w:val="0080387F"/>
    <w:rsid w:val="008072F2"/>
    <w:rsid w:val="00815E3C"/>
    <w:rsid w:val="0082507D"/>
    <w:rsid w:val="00845596"/>
    <w:rsid w:val="00856FD7"/>
    <w:rsid w:val="008850AA"/>
    <w:rsid w:val="0089326E"/>
    <w:rsid w:val="008A0D4B"/>
    <w:rsid w:val="008A252A"/>
    <w:rsid w:val="008B2EEA"/>
    <w:rsid w:val="008B6AF8"/>
    <w:rsid w:val="008C3332"/>
    <w:rsid w:val="0091549A"/>
    <w:rsid w:val="0092151E"/>
    <w:rsid w:val="0092636B"/>
    <w:rsid w:val="00945DA9"/>
    <w:rsid w:val="009536FB"/>
    <w:rsid w:val="009557B1"/>
    <w:rsid w:val="00960BEA"/>
    <w:rsid w:val="00971098"/>
    <w:rsid w:val="00974129"/>
    <w:rsid w:val="00977E68"/>
    <w:rsid w:val="009C574B"/>
    <w:rsid w:val="009C5865"/>
    <w:rsid w:val="009E57DD"/>
    <w:rsid w:val="00A0144A"/>
    <w:rsid w:val="00A15688"/>
    <w:rsid w:val="00A30719"/>
    <w:rsid w:val="00A31A7E"/>
    <w:rsid w:val="00A31B0C"/>
    <w:rsid w:val="00A41294"/>
    <w:rsid w:val="00A46A2A"/>
    <w:rsid w:val="00A6106E"/>
    <w:rsid w:val="00A61AFE"/>
    <w:rsid w:val="00A90881"/>
    <w:rsid w:val="00A93DF1"/>
    <w:rsid w:val="00AA6CC2"/>
    <w:rsid w:val="00AA7C5D"/>
    <w:rsid w:val="00AB4110"/>
    <w:rsid w:val="00AC7641"/>
    <w:rsid w:val="00AD2172"/>
    <w:rsid w:val="00AD55A7"/>
    <w:rsid w:val="00AF0E97"/>
    <w:rsid w:val="00AF30EF"/>
    <w:rsid w:val="00AF4B17"/>
    <w:rsid w:val="00B0673A"/>
    <w:rsid w:val="00B34C5D"/>
    <w:rsid w:val="00B405DA"/>
    <w:rsid w:val="00B721C9"/>
    <w:rsid w:val="00B760E2"/>
    <w:rsid w:val="00B93C98"/>
    <w:rsid w:val="00B9540E"/>
    <w:rsid w:val="00BB400E"/>
    <w:rsid w:val="00BC1774"/>
    <w:rsid w:val="00BE4965"/>
    <w:rsid w:val="00C03C46"/>
    <w:rsid w:val="00C1379B"/>
    <w:rsid w:val="00C17C89"/>
    <w:rsid w:val="00C41611"/>
    <w:rsid w:val="00C42D11"/>
    <w:rsid w:val="00C67DBE"/>
    <w:rsid w:val="00C86568"/>
    <w:rsid w:val="00C9255D"/>
    <w:rsid w:val="00C972EC"/>
    <w:rsid w:val="00CA1861"/>
    <w:rsid w:val="00CB7F31"/>
    <w:rsid w:val="00CC25D0"/>
    <w:rsid w:val="00CD5F51"/>
    <w:rsid w:val="00CD6BDC"/>
    <w:rsid w:val="00D015A4"/>
    <w:rsid w:val="00D12ACF"/>
    <w:rsid w:val="00D20B40"/>
    <w:rsid w:val="00D30B20"/>
    <w:rsid w:val="00D861F3"/>
    <w:rsid w:val="00D977B5"/>
    <w:rsid w:val="00DB2EF0"/>
    <w:rsid w:val="00DC6559"/>
    <w:rsid w:val="00DC781C"/>
    <w:rsid w:val="00DF3573"/>
    <w:rsid w:val="00DF59D4"/>
    <w:rsid w:val="00E143DE"/>
    <w:rsid w:val="00E351B8"/>
    <w:rsid w:val="00E35C0E"/>
    <w:rsid w:val="00E53065"/>
    <w:rsid w:val="00E53DA0"/>
    <w:rsid w:val="00E56CE3"/>
    <w:rsid w:val="00E72E6C"/>
    <w:rsid w:val="00E90B7E"/>
    <w:rsid w:val="00E951A9"/>
    <w:rsid w:val="00E956F5"/>
    <w:rsid w:val="00EA329B"/>
    <w:rsid w:val="00EC71BC"/>
    <w:rsid w:val="00ED7A75"/>
    <w:rsid w:val="00F04EAB"/>
    <w:rsid w:val="00F113A4"/>
    <w:rsid w:val="00F12C15"/>
    <w:rsid w:val="00F14BEE"/>
    <w:rsid w:val="00F24C4B"/>
    <w:rsid w:val="00F50983"/>
    <w:rsid w:val="00F52ECD"/>
    <w:rsid w:val="00F6530A"/>
    <w:rsid w:val="00FD2DA9"/>
    <w:rsid w:val="00FD75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591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F0"/>
    <w:pPr>
      <w:widowControl w:val="0"/>
      <w:autoSpaceDE w:val="0"/>
      <w:autoSpaceDN w:val="0"/>
      <w:adjustRightInd w:val="0"/>
      <w:spacing w:after="0" w:line="240" w:lineRule="auto"/>
    </w:pPr>
    <w:rPr>
      <w:rFonts w:ascii="Garamond" w:eastAsia="Times New Roman" w:hAnsi="Garamond" w:cs="Times New Roman"/>
      <w:snapToGrid w:val="0"/>
      <w:sz w:val="24"/>
      <w:szCs w:val="24"/>
      <w:lang w:val="en-GB"/>
    </w:rPr>
  </w:style>
  <w:style w:type="paragraph" w:styleId="Heading1">
    <w:name w:val="heading 1"/>
    <w:basedOn w:val="Normal"/>
    <w:next w:val="Normal"/>
    <w:link w:val="Heading1Char"/>
    <w:qFormat/>
    <w:rsid w:val="00602958"/>
    <w:pPr>
      <w:keepNext/>
      <w:numPr>
        <w:numId w:val="1"/>
      </w:numPr>
      <w:spacing w:before="360" w:after="120"/>
      <w:outlineLvl w:val="0"/>
    </w:pPr>
    <w:rPr>
      <w:b/>
    </w:rPr>
  </w:style>
  <w:style w:type="paragraph" w:styleId="Heading2">
    <w:name w:val="heading 2"/>
    <w:basedOn w:val="Normal"/>
    <w:next w:val="Normal"/>
    <w:link w:val="Heading2Char"/>
    <w:qFormat/>
    <w:rsid w:val="00602958"/>
    <w:pPr>
      <w:keepNext/>
      <w:numPr>
        <w:ilvl w:val="1"/>
        <w:numId w:val="1"/>
      </w:numPr>
      <w:spacing w:before="240" w:after="120"/>
      <w:outlineLvl w:val="1"/>
    </w:pPr>
    <w:rPr>
      <w:b/>
    </w:rPr>
  </w:style>
  <w:style w:type="paragraph" w:styleId="Heading3">
    <w:name w:val="heading 3"/>
    <w:basedOn w:val="Normal"/>
    <w:next w:val="Normal"/>
    <w:link w:val="Heading3Char"/>
    <w:qFormat/>
    <w:rsid w:val="00602958"/>
    <w:pPr>
      <w:keepNext/>
      <w:numPr>
        <w:ilvl w:val="2"/>
        <w:numId w:val="1"/>
      </w:numPr>
      <w:spacing w:before="120" w:after="120"/>
      <w:outlineLvl w:val="2"/>
    </w:pPr>
    <w:rPr>
      <w:rFonts w:ascii="Times New (W1)" w:hAnsi="Times New (W1)"/>
      <w:b/>
    </w:rPr>
  </w:style>
  <w:style w:type="paragraph" w:styleId="Heading4">
    <w:name w:val="heading 4"/>
    <w:basedOn w:val="Normal"/>
    <w:next w:val="Normal"/>
    <w:link w:val="Heading4Char"/>
    <w:qFormat/>
    <w:rsid w:val="00602958"/>
    <w:pPr>
      <w:keepNext/>
      <w:numPr>
        <w:ilvl w:val="3"/>
        <w:numId w:val="1"/>
      </w:numPr>
      <w:spacing w:before="12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958"/>
    <w:rPr>
      <w:rFonts w:ascii="Times New Roman" w:eastAsia="Times New Roman" w:hAnsi="Times New Roman" w:cs="Times New Roman"/>
      <w:b/>
      <w:snapToGrid w:val="0"/>
      <w:szCs w:val="20"/>
      <w:lang w:val="en-GB"/>
    </w:rPr>
  </w:style>
  <w:style w:type="character" w:customStyle="1" w:styleId="Heading2Char">
    <w:name w:val="Heading 2 Char"/>
    <w:basedOn w:val="DefaultParagraphFont"/>
    <w:link w:val="Heading2"/>
    <w:rsid w:val="00602958"/>
    <w:rPr>
      <w:rFonts w:ascii="Times New Roman" w:eastAsia="Times New Roman" w:hAnsi="Times New Roman" w:cs="Times New Roman"/>
      <w:b/>
      <w:snapToGrid w:val="0"/>
      <w:szCs w:val="20"/>
      <w:lang w:val="en-GB"/>
    </w:rPr>
  </w:style>
  <w:style w:type="character" w:customStyle="1" w:styleId="Heading3Char">
    <w:name w:val="Heading 3 Char"/>
    <w:basedOn w:val="DefaultParagraphFont"/>
    <w:link w:val="Heading3"/>
    <w:rsid w:val="00602958"/>
    <w:rPr>
      <w:rFonts w:ascii="Times New (W1)" w:eastAsia="Times New Roman" w:hAnsi="Times New (W1)" w:cs="Times New Roman"/>
      <w:b/>
      <w:snapToGrid w:val="0"/>
      <w:szCs w:val="20"/>
      <w:lang w:val="en-GB"/>
    </w:rPr>
  </w:style>
  <w:style w:type="character" w:customStyle="1" w:styleId="Heading4Char">
    <w:name w:val="Heading 4 Char"/>
    <w:basedOn w:val="DefaultParagraphFont"/>
    <w:link w:val="Heading4"/>
    <w:rsid w:val="00602958"/>
    <w:rPr>
      <w:rFonts w:ascii="Times New Roman" w:eastAsia="Times New Roman" w:hAnsi="Times New Roman" w:cs="Times New Roman"/>
      <w:b/>
      <w:snapToGrid w:val="0"/>
      <w:szCs w:val="20"/>
      <w:lang w:val="en-GB"/>
    </w:rPr>
  </w:style>
  <w:style w:type="paragraph" w:styleId="BodyText">
    <w:name w:val="Body Text"/>
    <w:basedOn w:val="Normal"/>
    <w:link w:val="BodyTextChar"/>
    <w:rsid w:val="00602958"/>
    <w:pPr>
      <w:spacing w:after="120"/>
    </w:pPr>
  </w:style>
  <w:style w:type="character" w:customStyle="1" w:styleId="BodyTextChar">
    <w:name w:val="Body Text Char"/>
    <w:basedOn w:val="DefaultParagraphFont"/>
    <w:link w:val="BodyText"/>
    <w:rsid w:val="00602958"/>
    <w:rPr>
      <w:rFonts w:ascii="Times New Roman" w:eastAsia="Times New Roman" w:hAnsi="Times New Roman" w:cs="Times New Roman"/>
      <w:snapToGrid w:val="0"/>
      <w:szCs w:val="20"/>
      <w:lang w:val="en-GB"/>
    </w:rPr>
  </w:style>
  <w:style w:type="paragraph" w:styleId="BodyTextIndent3">
    <w:name w:val="Body Text Indent 3"/>
    <w:basedOn w:val="Normal"/>
    <w:link w:val="BodyTextIndent3Char"/>
    <w:semiHidden/>
    <w:rsid w:val="00602958"/>
    <w:pPr>
      <w:spacing w:after="120"/>
      <w:ind w:left="720" w:hanging="720"/>
    </w:pPr>
    <w:rPr>
      <w:snapToGrid/>
      <w:szCs w:val="22"/>
      <w:lang w:val="en-US"/>
    </w:rPr>
  </w:style>
  <w:style w:type="character" w:customStyle="1" w:styleId="BodyTextIndent3Char">
    <w:name w:val="Body Text Indent 3 Char"/>
    <w:basedOn w:val="DefaultParagraphFont"/>
    <w:link w:val="BodyTextIndent3"/>
    <w:semiHidden/>
    <w:rsid w:val="00602958"/>
    <w:rPr>
      <w:rFonts w:ascii="Times New Roman" w:eastAsia="Times New Roman" w:hAnsi="Times New Roman" w:cs="Times New Roman"/>
      <w:lang w:val="en-US"/>
    </w:rPr>
  </w:style>
  <w:style w:type="paragraph" w:customStyle="1" w:styleId="ListBulletNoSpace">
    <w:name w:val="List Bullet NoSpace"/>
    <w:basedOn w:val="ListBullet"/>
    <w:rsid w:val="00602958"/>
    <w:pPr>
      <w:numPr>
        <w:numId w:val="2"/>
      </w:numPr>
      <w:tabs>
        <w:tab w:val="left" w:pos="-709"/>
      </w:tabs>
      <w:spacing w:line="270" w:lineRule="atLeast"/>
      <w:contextualSpacing w:val="0"/>
      <w:jc w:val="both"/>
    </w:pPr>
    <w:rPr>
      <w:bCs/>
      <w:sz w:val="26"/>
      <w:szCs w:val="26"/>
    </w:rPr>
  </w:style>
  <w:style w:type="paragraph" w:styleId="ListParagraph">
    <w:name w:val="List Paragraph"/>
    <w:basedOn w:val="Normal"/>
    <w:qFormat/>
    <w:rsid w:val="00602958"/>
    <w:pPr>
      <w:widowControl/>
      <w:ind w:left="1304"/>
    </w:pPr>
    <w:rPr>
      <w:snapToGrid/>
      <w:lang w:eastAsia="da-DK"/>
    </w:rPr>
  </w:style>
  <w:style w:type="paragraph" w:styleId="ListBullet">
    <w:name w:val="List Bullet"/>
    <w:basedOn w:val="Normal"/>
    <w:uiPriority w:val="99"/>
    <w:semiHidden/>
    <w:unhideWhenUsed/>
    <w:rsid w:val="00602958"/>
    <w:pPr>
      <w:tabs>
        <w:tab w:val="num" w:pos="432"/>
      </w:tabs>
      <w:ind w:left="432" w:hanging="432"/>
      <w:contextualSpacing/>
    </w:pPr>
  </w:style>
  <w:style w:type="paragraph" w:customStyle="1" w:styleId="um-fremhvet13">
    <w:name w:val="_um-fremhævet 13"/>
    <w:basedOn w:val="Normal"/>
    <w:autoRedefine/>
    <w:uiPriority w:val="99"/>
    <w:rsid w:val="000E347D"/>
    <w:pPr>
      <w:widowControl/>
      <w:spacing w:after="240"/>
      <w:outlineLvl w:val="0"/>
    </w:pPr>
    <w:rPr>
      <w:rFonts w:ascii="Calibri" w:hAnsi="Calibri"/>
      <w:snapToGrid/>
    </w:rPr>
  </w:style>
  <w:style w:type="paragraph" w:styleId="PlainText">
    <w:name w:val="Plain Text"/>
    <w:basedOn w:val="Normal"/>
    <w:link w:val="PlainTextChar"/>
    <w:semiHidden/>
    <w:rsid w:val="00C9255D"/>
    <w:pPr>
      <w:widowControl/>
    </w:pPr>
    <w:rPr>
      <w:rFonts w:ascii="Courier New" w:hAnsi="Courier New" w:cs="Courier New"/>
      <w:snapToGrid/>
      <w:sz w:val="20"/>
      <w:lang w:eastAsia="da-DK"/>
    </w:rPr>
  </w:style>
  <w:style w:type="character" w:customStyle="1" w:styleId="PlainTextChar">
    <w:name w:val="Plain Text Char"/>
    <w:basedOn w:val="DefaultParagraphFont"/>
    <w:link w:val="PlainText"/>
    <w:semiHidden/>
    <w:rsid w:val="00C9255D"/>
    <w:rPr>
      <w:rFonts w:ascii="Courier New" w:eastAsia="Times New Roman" w:hAnsi="Courier New" w:cs="Courier New"/>
      <w:sz w:val="20"/>
      <w:szCs w:val="20"/>
      <w:lang w:val="en-GB" w:eastAsia="da-DK"/>
    </w:rPr>
  </w:style>
  <w:style w:type="paragraph" w:styleId="Header">
    <w:name w:val="header"/>
    <w:aliases w:val="heading 3 after h2,h,h3+,ContentsHeader"/>
    <w:basedOn w:val="Normal"/>
    <w:link w:val="HeaderChar"/>
    <w:rsid w:val="00C9255D"/>
    <w:pPr>
      <w:widowControl/>
      <w:tabs>
        <w:tab w:val="center" w:pos="4819"/>
        <w:tab w:val="right" w:pos="9638"/>
      </w:tabs>
    </w:pPr>
    <w:rPr>
      <w:snapToGrid/>
      <w:sz w:val="26"/>
      <w:szCs w:val="28"/>
      <w:lang w:eastAsia="da-DK"/>
    </w:rPr>
  </w:style>
  <w:style w:type="character" w:customStyle="1" w:styleId="HeaderChar">
    <w:name w:val="Header Char"/>
    <w:aliases w:val="heading 3 after h2 Char,h Char,h3+ Char,ContentsHeader Char"/>
    <w:basedOn w:val="DefaultParagraphFont"/>
    <w:link w:val="Header"/>
    <w:rsid w:val="00C9255D"/>
    <w:rPr>
      <w:rFonts w:ascii="Times New Roman" w:eastAsia="Times New Roman" w:hAnsi="Times New Roman" w:cs="Times New Roman"/>
      <w:sz w:val="26"/>
      <w:szCs w:val="28"/>
      <w:lang w:val="en-GB" w:eastAsia="da-DK"/>
    </w:rPr>
  </w:style>
  <w:style w:type="paragraph" w:customStyle="1" w:styleId="Klassifikation">
    <w:name w:val="Klassifikation"/>
    <w:basedOn w:val="Normal"/>
    <w:rsid w:val="00C9255D"/>
    <w:pPr>
      <w:widowControl/>
      <w:jc w:val="center"/>
    </w:pPr>
    <w:rPr>
      <w:caps/>
      <w:snapToGrid/>
      <w:sz w:val="26"/>
    </w:rPr>
  </w:style>
  <w:style w:type="paragraph" w:styleId="FootnoteText">
    <w:name w:val="footnote text"/>
    <w:basedOn w:val="Normal"/>
    <w:link w:val="FootnoteTextChar"/>
    <w:uiPriority w:val="99"/>
    <w:semiHidden/>
    <w:rsid w:val="00C9255D"/>
    <w:pPr>
      <w:widowControl/>
      <w:spacing w:after="200" w:line="276" w:lineRule="auto"/>
    </w:pPr>
    <w:rPr>
      <w:snapToGrid/>
      <w:color w:val="000000"/>
    </w:rPr>
  </w:style>
  <w:style w:type="character" w:customStyle="1" w:styleId="FootnoteTextChar">
    <w:name w:val="Footnote Text Char"/>
    <w:basedOn w:val="DefaultParagraphFont"/>
    <w:link w:val="FootnoteText"/>
    <w:uiPriority w:val="99"/>
    <w:semiHidden/>
    <w:rsid w:val="00C9255D"/>
    <w:rPr>
      <w:rFonts w:ascii="Garamond" w:eastAsia="Times New Roman" w:hAnsi="Garamond" w:cs="Times New Roman"/>
      <w:color w:val="000000"/>
      <w:sz w:val="24"/>
      <w:szCs w:val="24"/>
      <w:lang w:val="en-GB"/>
    </w:rPr>
  </w:style>
  <w:style w:type="character" w:styleId="FootnoteReference">
    <w:name w:val="footnote reference"/>
    <w:uiPriority w:val="99"/>
    <w:semiHidden/>
    <w:rsid w:val="00C9255D"/>
    <w:rPr>
      <w:vertAlign w:val="superscript"/>
    </w:rPr>
  </w:style>
  <w:style w:type="paragraph" w:styleId="Footer">
    <w:name w:val="footer"/>
    <w:basedOn w:val="Normal"/>
    <w:link w:val="FooterChar"/>
    <w:uiPriority w:val="99"/>
    <w:unhideWhenUsed/>
    <w:rsid w:val="00006D72"/>
    <w:pPr>
      <w:tabs>
        <w:tab w:val="center" w:pos="4819"/>
        <w:tab w:val="right" w:pos="9638"/>
      </w:tabs>
    </w:pPr>
  </w:style>
  <w:style w:type="character" w:customStyle="1" w:styleId="FooterChar">
    <w:name w:val="Footer Char"/>
    <w:basedOn w:val="DefaultParagraphFont"/>
    <w:link w:val="Footer"/>
    <w:uiPriority w:val="99"/>
    <w:rsid w:val="00006D72"/>
    <w:rPr>
      <w:rFonts w:ascii="Garamond" w:eastAsia="Times New Roman" w:hAnsi="Garamond" w:cs="Times New Roman"/>
      <w:snapToGrid w:val="0"/>
      <w:sz w:val="24"/>
      <w:szCs w:val="24"/>
      <w:lang w:val="en-GB"/>
    </w:rPr>
  </w:style>
  <w:style w:type="paragraph" w:customStyle="1" w:styleId="Listeafsnit1">
    <w:name w:val="Listeafsnit1"/>
    <w:basedOn w:val="Normal"/>
    <w:rsid w:val="00C42D11"/>
    <w:pPr>
      <w:widowControl/>
      <w:autoSpaceDE/>
      <w:autoSpaceDN/>
      <w:adjustRightInd/>
      <w:ind w:left="1304"/>
    </w:pPr>
    <w:rPr>
      <w:rFonts w:ascii="Times New Roman" w:eastAsia="Calibri" w:hAnsi="Times New Roman"/>
      <w:snapToGrid/>
      <w:lang w:eastAsia="da-DK"/>
    </w:rPr>
  </w:style>
  <w:style w:type="paragraph" w:styleId="BalloonText">
    <w:name w:val="Balloon Text"/>
    <w:basedOn w:val="Normal"/>
    <w:link w:val="BalloonTextChar"/>
    <w:uiPriority w:val="99"/>
    <w:semiHidden/>
    <w:unhideWhenUsed/>
    <w:rsid w:val="007B3DC2"/>
    <w:rPr>
      <w:rFonts w:ascii="Tahoma" w:hAnsi="Tahoma" w:cs="Tahoma"/>
      <w:sz w:val="16"/>
      <w:szCs w:val="16"/>
    </w:rPr>
  </w:style>
  <w:style w:type="character" w:customStyle="1" w:styleId="BalloonTextChar">
    <w:name w:val="Balloon Text Char"/>
    <w:basedOn w:val="DefaultParagraphFont"/>
    <w:link w:val="BalloonText"/>
    <w:uiPriority w:val="99"/>
    <w:semiHidden/>
    <w:rsid w:val="007B3DC2"/>
    <w:rPr>
      <w:rFonts w:ascii="Tahoma" w:eastAsia="Times New Roman" w:hAnsi="Tahoma" w:cs="Tahoma"/>
      <w:snapToGrid w:val="0"/>
      <w:sz w:val="16"/>
      <w:szCs w:val="16"/>
      <w:lang w:val="en-GB"/>
    </w:rPr>
  </w:style>
  <w:style w:type="paragraph" w:styleId="ListBullet2">
    <w:name w:val="List Bullet 2"/>
    <w:basedOn w:val="Normal"/>
    <w:uiPriority w:val="99"/>
    <w:semiHidden/>
    <w:unhideWhenUsed/>
    <w:rsid w:val="007C53A0"/>
    <w:pPr>
      <w:numPr>
        <w:numId w:val="29"/>
      </w:numPr>
      <w:contextualSpacing/>
    </w:pPr>
  </w:style>
  <w:style w:type="character" w:customStyle="1" w:styleId="TypografiGaramond">
    <w:name w:val="Typografi Garamond"/>
    <w:rsid w:val="007C53A0"/>
    <w:rPr>
      <w:rFonts w:ascii="Garamond" w:hAnsi="Garamond"/>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F0"/>
    <w:pPr>
      <w:widowControl w:val="0"/>
      <w:autoSpaceDE w:val="0"/>
      <w:autoSpaceDN w:val="0"/>
      <w:adjustRightInd w:val="0"/>
      <w:spacing w:after="0" w:line="240" w:lineRule="auto"/>
    </w:pPr>
    <w:rPr>
      <w:rFonts w:ascii="Garamond" w:eastAsia="Times New Roman" w:hAnsi="Garamond" w:cs="Times New Roman"/>
      <w:snapToGrid w:val="0"/>
      <w:sz w:val="24"/>
      <w:szCs w:val="24"/>
      <w:lang w:val="en-GB"/>
    </w:rPr>
  </w:style>
  <w:style w:type="paragraph" w:styleId="Heading1">
    <w:name w:val="heading 1"/>
    <w:basedOn w:val="Normal"/>
    <w:next w:val="Normal"/>
    <w:link w:val="Heading1Char"/>
    <w:qFormat/>
    <w:rsid w:val="00602958"/>
    <w:pPr>
      <w:keepNext/>
      <w:numPr>
        <w:numId w:val="1"/>
      </w:numPr>
      <w:spacing w:before="360" w:after="120"/>
      <w:outlineLvl w:val="0"/>
    </w:pPr>
    <w:rPr>
      <w:b/>
    </w:rPr>
  </w:style>
  <w:style w:type="paragraph" w:styleId="Heading2">
    <w:name w:val="heading 2"/>
    <w:basedOn w:val="Normal"/>
    <w:next w:val="Normal"/>
    <w:link w:val="Heading2Char"/>
    <w:qFormat/>
    <w:rsid w:val="00602958"/>
    <w:pPr>
      <w:keepNext/>
      <w:numPr>
        <w:ilvl w:val="1"/>
        <w:numId w:val="1"/>
      </w:numPr>
      <w:spacing w:before="240" w:after="120"/>
      <w:outlineLvl w:val="1"/>
    </w:pPr>
    <w:rPr>
      <w:b/>
    </w:rPr>
  </w:style>
  <w:style w:type="paragraph" w:styleId="Heading3">
    <w:name w:val="heading 3"/>
    <w:basedOn w:val="Normal"/>
    <w:next w:val="Normal"/>
    <w:link w:val="Heading3Char"/>
    <w:qFormat/>
    <w:rsid w:val="00602958"/>
    <w:pPr>
      <w:keepNext/>
      <w:numPr>
        <w:ilvl w:val="2"/>
        <w:numId w:val="1"/>
      </w:numPr>
      <w:spacing w:before="120" w:after="120"/>
      <w:outlineLvl w:val="2"/>
    </w:pPr>
    <w:rPr>
      <w:rFonts w:ascii="Times New (W1)" w:hAnsi="Times New (W1)"/>
      <w:b/>
    </w:rPr>
  </w:style>
  <w:style w:type="paragraph" w:styleId="Heading4">
    <w:name w:val="heading 4"/>
    <w:basedOn w:val="Normal"/>
    <w:next w:val="Normal"/>
    <w:link w:val="Heading4Char"/>
    <w:qFormat/>
    <w:rsid w:val="00602958"/>
    <w:pPr>
      <w:keepNext/>
      <w:numPr>
        <w:ilvl w:val="3"/>
        <w:numId w:val="1"/>
      </w:numPr>
      <w:spacing w:before="12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958"/>
    <w:rPr>
      <w:rFonts w:ascii="Times New Roman" w:eastAsia="Times New Roman" w:hAnsi="Times New Roman" w:cs="Times New Roman"/>
      <w:b/>
      <w:snapToGrid w:val="0"/>
      <w:szCs w:val="20"/>
      <w:lang w:val="en-GB"/>
    </w:rPr>
  </w:style>
  <w:style w:type="character" w:customStyle="1" w:styleId="Heading2Char">
    <w:name w:val="Heading 2 Char"/>
    <w:basedOn w:val="DefaultParagraphFont"/>
    <w:link w:val="Heading2"/>
    <w:rsid w:val="00602958"/>
    <w:rPr>
      <w:rFonts w:ascii="Times New Roman" w:eastAsia="Times New Roman" w:hAnsi="Times New Roman" w:cs="Times New Roman"/>
      <w:b/>
      <w:snapToGrid w:val="0"/>
      <w:szCs w:val="20"/>
      <w:lang w:val="en-GB"/>
    </w:rPr>
  </w:style>
  <w:style w:type="character" w:customStyle="1" w:styleId="Heading3Char">
    <w:name w:val="Heading 3 Char"/>
    <w:basedOn w:val="DefaultParagraphFont"/>
    <w:link w:val="Heading3"/>
    <w:rsid w:val="00602958"/>
    <w:rPr>
      <w:rFonts w:ascii="Times New (W1)" w:eastAsia="Times New Roman" w:hAnsi="Times New (W1)" w:cs="Times New Roman"/>
      <w:b/>
      <w:snapToGrid w:val="0"/>
      <w:szCs w:val="20"/>
      <w:lang w:val="en-GB"/>
    </w:rPr>
  </w:style>
  <w:style w:type="character" w:customStyle="1" w:styleId="Heading4Char">
    <w:name w:val="Heading 4 Char"/>
    <w:basedOn w:val="DefaultParagraphFont"/>
    <w:link w:val="Heading4"/>
    <w:rsid w:val="00602958"/>
    <w:rPr>
      <w:rFonts w:ascii="Times New Roman" w:eastAsia="Times New Roman" w:hAnsi="Times New Roman" w:cs="Times New Roman"/>
      <w:b/>
      <w:snapToGrid w:val="0"/>
      <w:szCs w:val="20"/>
      <w:lang w:val="en-GB"/>
    </w:rPr>
  </w:style>
  <w:style w:type="paragraph" w:styleId="BodyText">
    <w:name w:val="Body Text"/>
    <w:basedOn w:val="Normal"/>
    <w:link w:val="BodyTextChar"/>
    <w:rsid w:val="00602958"/>
    <w:pPr>
      <w:spacing w:after="120"/>
    </w:pPr>
  </w:style>
  <w:style w:type="character" w:customStyle="1" w:styleId="BodyTextChar">
    <w:name w:val="Body Text Char"/>
    <w:basedOn w:val="DefaultParagraphFont"/>
    <w:link w:val="BodyText"/>
    <w:rsid w:val="00602958"/>
    <w:rPr>
      <w:rFonts w:ascii="Times New Roman" w:eastAsia="Times New Roman" w:hAnsi="Times New Roman" w:cs="Times New Roman"/>
      <w:snapToGrid w:val="0"/>
      <w:szCs w:val="20"/>
      <w:lang w:val="en-GB"/>
    </w:rPr>
  </w:style>
  <w:style w:type="paragraph" w:styleId="BodyTextIndent3">
    <w:name w:val="Body Text Indent 3"/>
    <w:basedOn w:val="Normal"/>
    <w:link w:val="BodyTextIndent3Char"/>
    <w:semiHidden/>
    <w:rsid w:val="00602958"/>
    <w:pPr>
      <w:spacing w:after="120"/>
      <w:ind w:left="720" w:hanging="720"/>
    </w:pPr>
    <w:rPr>
      <w:snapToGrid/>
      <w:szCs w:val="22"/>
      <w:lang w:val="en-US"/>
    </w:rPr>
  </w:style>
  <w:style w:type="character" w:customStyle="1" w:styleId="BodyTextIndent3Char">
    <w:name w:val="Body Text Indent 3 Char"/>
    <w:basedOn w:val="DefaultParagraphFont"/>
    <w:link w:val="BodyTextIndent3"/>
    <w:semiHidden/>
    <w:rsid w:val="00602958"/>
    <w:rPr>
      <w:rFonts w:ascii="Times New Roman" w:eastAsia="Times New Roman" w:hAnsi="Times New Roman" w:cs="Times New Roman"/>
      <w:lang w:val="en-US"/>
    </w:rPr>
  </w:style>
  <w:style w:type="paragraph" w:customStyle="1" w:styleId="ListBulletNoSpace">
    <w:name w:val="List Bullet NoSpace"/>
    <w:basedOn w:val="ListBullet"/>
    <w:rsid w:val="00602958"/>
    <w:pPr>
      <w:numPr>
        <w:numId w:val="2"/>
      </w:numPr>
      <w:tabs>
        <w:tab w:val="left" w:pos="-709"/>
      </w:tabs>
      <w:spacing w:line="270" w:lineRule="atLeast"/>
      <w:contextualSpacing w:val="0"/>
      <w:jc w:val="both"/>
    </w:pPr>
    <w:rPr>
      <w:bCs/>
      <w:sz w:val="26"/>
      <w:szCs w:val="26"/>
    </w:rPr>
  </w:style>
  <w:style w:type="paragraph" w:styleId="ListParagraph">
    <w:name w:val="List Paragraph"/>
    <w:basedOn w:val="Normal"/>
    <w:qFormat/>
    <w:rsid w:val="00602958"/>
    <w:pPr>
      <w:widowControl/>
      <w:ind w:left="1304"/>
    </w:pPr>
    <w:rPr>
      <w:snapToGrid/>
      <w:lang w:eastAsia="da-DK"/>
    </w:rPr>
  </w:style>
  <w:style w:type="paragraph" w:styleId="ListBullet">
    <w:name w:val="List Bullet"/>
    <w:basedOn w:val="Normal"/>
    <w:uiPriority w:val="99"/>
    <w:semiHidden/>
    <w:unhideWhenUsed/>
    <w:rsid w:val="00602958"/>
    <w:pPr>
      <w:tabs>
        <w:tab w:val="num" w:pos="432"/>
      </w:tabs>
      <w:ind w:left="432" w:hanging="432"/>
      <w:contextualSpacing/>
    </w:pPr>
  </w:style>
  <w:style w:type="paragraph" w:customStyle="1" w:styleId="um-fremhvet13">
    <w:name w:val="_um-fremhævet 13"/>
    <w:basedOn w:val="Normal"/>
    <w:autoRedefine/>
    <w:uiPriority w:val="99"/>
    <w:rsid w:val="000E347D"/>
    <w:pPr>
      <w:widowControl/>
      <w:spacing w:after="240"/>
      <w:outlineLvl w:val="0"/>
    </w:pPr>
    <w:rPr>
      <w:rFonts w:ascii="Calibri" w:hAnsi="Calibri"/>
      <w:snapToGrid/>
    </w:rPr>
  </w:style>
  <w:style w:type="paragraph" w:styleId="PlainText">
    <w:name w:val="Plain Text"/>
    <w:basedOn w:val="Normal"/>
    <w:link w:val="PlainTextChar"/>
    <w:semiHidden/>
    <w:rsid w:val="00C9255D"/>
    <w:pPr>
      <w:widowControl/>
    </w:pPr>
    <w:rPr>
      <w:rFonts w:ascii="Courier New" w:hAnsi="Courier New" w:cs="Courier New"/>
      <w:snapToGrid/>
      <w:sz w:val="20"/>
      <w:lang w:eastAsia="da-DK"/>
    </w:rPr>
  </w:style>
  <w:style w:type="character" w:customStyle="1" w:styleId="PlainTextChar">
    <w:name w:val="Plain Text Char"/>
    <w:basedOn w:val="DefaultParagraphFont"/>
    <w:link w:val="PlainText"/>
    <w:semiHidden/>
    <w:rsid w:val="00C9255D"/>
    <w:rPr>
      <w:rFonts w:ascii="Courier New" w:eastAsia="Times New Roman" w:hAnsi="Courier New" w:cs="Courier New"/>
      <w:sz w:val="20"/>
      <w:szCs w:val="20"/>
      <w:lang w:val="en-GB" w:eastAsia="da-DK"/>
    </w:rPr>
  </w:style>
  <w:style w:type="paragraph" w:styleId="Header">
    <w:name w:val="header"/>
    <w:aliases w:val="heading 3 after h2,h,h3+,ContentsHeader"/>
    <w:basedOn w:val="Normal"/>
    <w:link w:val="HeaderChar"/>
    <w:rsid w:val="00C9255D"/>
    <w:pPr>
      <w:widowControl/>
      <w:tabs>
        <w:tab w:val="center" w:pos="4819"/>
        <w:tab w:val="right" w:pos="9638"/>
      </w:tabs>
    </w:pPr>
    <w:rPr>
      <w:snapToGrid/>
      <w:sz w:val="26"/>
      <w:szCs w:val="28"/>
      <w:lang w:eastAsia="da-DK"/>
    </w:rPr>
  </w:style>
  <w:style w:type="character" w:customStyle="1" w:styleId="HeaderChar">
    <w:name w:val="Header Char"/>
    <w:aliases w:val="heading 3 after h2 Char,h Char,h3+ Char,ContentsHeader Char"/>
    <w:basedOn w:val="DefaultParagraphFont"/>
    <w:link w:val="Header"/>
    <w:rsid w:val="00C9255D"/>
    <w:rPr>
      <w:rFonts w:ascii="Times New Roman" w:eastAsia="Times New Roman" w:hAnsi="Times New Roman" w:cs="Times New Roman"/>
      <w:sz w:val="26"/>
      <w:szCs w:val="28"/>
      <w:lang w:val="en-GB" w:eastAsia="da-DK"/>
    </w:rPr>
  </w:style>
  <w:style w:type="paragraph" w:customStyle="1" w:styleId="Klassifikation">
    <w:name w:val="Klassifikation"/>
    <w:basedOn w:val="Normal"/>
    <w:rsid w:val="00C9255D"/>
    <w:pPr>
      <w:widowControl/>
      <w:jc w:val="center"/>
    </w:pPr>
    <w:rPr>
      <w:caps/>
      <w:snapToGrid/>
      <w:sz w:val="26"/>
    </w:rPr>
  </w:style>
  <w:style w:type="paragraph" w:styleId="FootnoteText">
    <w:name w:val="footnote text"/>
    <w:basedOn w:val="Normal"/>
    <w:link w:val="FootnoteTextChar"/>
    <w:uiPriority w:val="99"/>
    <w:semiHidden/>
    <w:rsid w:val="00C9255D"/>
    <w:pPr>
      <w:widowControl/>
      <w:spacing w:after="200" w:line="276" w:lineRule="auto"/>
    </w:pPr>
    <w:rPr>
      <w:snapToGrid/>
      <w:color w:val="000000"/>
    </w:rPr>
  </w:style>
  <w:style w:type="character" w:customStyle="1" w:styleId="FootnoteTextChar">
    <w:name w:val="Footnote Text Char"/>
    <w:basedOn w:val="DefaultParagraphFont"/>
    <w:link w:val="FootnoteText"/>
    <w:uiPriority w:val="99"/>
    <w:semiHidden/>
    <w:rsid w:val="00C9255D"/>
    <w:rPr>
      <w:rFonts w:ascii="Garamond" w:eastAsia="Times New Roman" w:hAnsi="Garamond" w:cs="Times New Roman"/>
      <w:color w:val="000000"/>
      <w:sz w:val="24"/>
      <w:szCs w:val="24"/>
      <w:lang w:val="en-GB"/>
    </w:rPr>
  </w:style>
  <w:style w:type="character" w:styleId="FootnoteReference">
    <w:name w:val="footnote reference"/>
    <w:uiPriority w:val="99"/>
    <w:semiHidden/>
    <w:rsid w:val="00C9255D"/>
    <w:rPr>
      <w:vertAlign w:val="superscript"/>
    </w:rPr>
  </w:style>
  <w:style w:type="paragraph" w:styleId="Footer">
    <w:name w:val="footer"/>
    <w:basedOn w:val="Normal"/>
    <w:link w:val="FooterChar"/>
    <w:uiPriority w:val="99"/>
    <w:unhideWhenUsed/>
    <w:rsid w:val="00006D72"/>
    <w:pPr>
      <w:tabs>
        <w:tab w:val="center" w:pos="4819"/>
        <w:tab w:val="right" w:pos="9638"/>
      </w:tabs>
    </w:pPr>
  </w:style>
  <w:style w:type="character" w:customStyle="1" w:styleId="FooterChar">
    <w:name w:val="Footer Char"/>
    <w:basedOn w:val="DefaultParagraphFont"/>
    <w:link w:val="Footer"/>
    <w:uiPriority w:val="99"/>
    <w:rsid w:val="00006D72"/>
    <w:rPr>
      <w:rFonts w:ascii="Garamond" w:eastAsia="Times New Roman" w:hAnsi="Garamond" w:cs="Times New Roman"/>
      <w:snapToGrid w:val="0"/>
      <w:sz w:val="24"/>
      <w:szCs w:val="24"/>
      <w:lang w:val="en-GB"/>
    </w:rPr>
  </w:style>
  <w:style w:type="paragraph" w:customStyle="1" w:styleId="Listeafsnit1">
    <w:name w:val="Listeafsnit1"/>
    <w:basedOn w:val="Normal"/>
    <w:rsid w:val="00C42D11"/>
    <w:pPr>
      <w:widowControl/>
      <w:autoSpaceDE/>
      <w:autoSpaceDN/>
      <w:adjustRightInd/>
      <w:ind w:left="1304"/>
    </w:pPr>
    <w:rPr>
      <w:rFonts w:ascii="Times New Roman" w:eastAsia="Calibri" w:hAnsi="Times New Roman"/>
      <w:snapToGrid/>
      <w:lang w:eastAsia="da-DK"/>
    </w:rPr>
  </w:style>
  <w:style w:type="paragraph" w:styleId="BalloonText">
    <w:name w:val="Balloon Text"/>
    <w:basedOn w:val="Normal"/>
    <w:link w:val="BalloonTextChar"/>
    <w:uiPriority w:val="99"/>
    <w:semiHidden/>
    <w:unhideWhenUsed/>
    <w:rsid w:val="007B3DC2"/>
    <w:rPr>
      <w:rFonts w:ascii="Tahoma" w:hAnsi="Tahoma" w:cs="Tahoma"/>
      <w:sz w:val="16"/>
      <w:szCs w:val="16"/>
    </w:rPr>
  </w:style>
  <w:style w:type="character" w:customStyle="1" w:styleId="BalloonTextChar">
    <w:name w:val="Balloon Text Char"/>
    <w:basedOn w:val="DefaultParagraphFont"/>
    <w:link w:val="BalloonText"/>
    <w:uiPriority w:val="99"/>
    <w:semiHidden/>
    <w:rsid w:val="007B3DC2"/>
    <w:rPr>
      <w:rFonts w:ascii="Tahoma" w:eastAsia="Times New Roman" w:hAnsi="Tahoma" w:cs="Tahoma"/>
      <w:snapToGrid w:val="0"/>
      <w:sz w:val="16"/>
      <w:szCs w:val="16"/>
      <w:lang w:val="en-GB"/>
    </w:rPr>
  </w:style>
  <w:style w:type="paragraph" w:styleId="ListBullet2">
    <w:name w:val="List Bullet 2"/>
    <w:basedOn w:val="Normal"/>
    <w:uiPriority w:val="99"/>
    <w:semiHidden/>
    <w:unhideWhenUsed/>
    <w:rsid w:val="007C53A0"/>
    <w:pPr>
      <w:numPr>
        <w:numId w:val="29"/>
      </w:numPr>
      <w:contextualSpacing/>
    </w:pPr>
  </w:style>
  <w:style w:type="character" w:customStyle="1" w:styleId="TypografiGaramond">
    <w:name w:val="Typografi Garamond"/>
    <w:rsid w:val="007C53A0"/>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2016-04-01T14:00:00+00:00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1691</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00056752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ATLASPDC-4-46935</_dlc_DocId>
    <_dlc_DocIdUrl xmlns="f1161f5b-24a3-4c2d-bc81-44cb9325e8ee">
      <Url>https://info.undp.org/docs/pdc/_layouts/DocIdRedir.aspx?ID=ATLASPDC-4-46935</Url>
      <Description>ATLASPDC-4-46935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AF74-056C-43C8-8B37-4F6E2BD0C00D}"/>
</file>

<file path=customXml/itemProps2.xml><?xml version="1.0" encoding="utf-8"?>
<ds:datastoreItem xmlns:ds="http://schemas.openxmlformats.org/officeDocument/2006/customXml" ds:itemID="{2401982D-1F2D-4EB1-8031-DDA959A96C62}"/>
</file>

<file path=customXml/itemProps3.xml><?xml version="1.0" encoding="utf-8"?>
<ds:datastoreItem xmlns:ds="http://schemas.openxmlformats.org/officeDocument/2006/customXml" ds:itemID="{709F8549-56F1-4398-A1F7-B0687D9F494E}"/>
</file>

<file path=customXml/itemProps4.xml><?xml version="1.0" encoding="utf-8"?>
<ds:datastoreItem xmlns:ds="http://schemas.openxmlformats.org/officeDocument/2006/customXml" ds:itemID="{D505D6B3-788C-4B91-A761-442DD31F83E1}"/>
</file>

<file path=customXml/itemProps5.xml><?xml version="1.0" encoding="utf-8"?>
<ds:datastoreItem xmlns:ds="http://schemas.openxmlformats.org/officeDocument/2006/customXml" ds:itemID="{EEAFF76C-0DD2-4978-B510-D7B414E2A623}"/>
</file>

<file path=customXml/itemProps6.xml><?xml version="1.0" encoding="utf-8"?>
<ds:datastoreItem xmlns:ds="http://schemas.openxmlformats.org/officeDocument/2006/customXml" ds:itemID="{A6553F21-36A0-4A7C-A37A-7D4AC58A29D9}"/>
</file>

<file path=docProps/app.xml><?xml version="1.0" encoding="utf-8"?>
<Properties xmlns="http://schemas.openxmlformats.org/officeDocument/2006/extended-properties" xmlns:vt="http://schemas.openxmlformats.org/officeDocument/2006/docPropsVTypes">
  <Template>Normal</Template>
  <TotalTime>1</TotalTime>
  <Pages>24</Pages>
  <Words>8528</Words>
  <Characters>48611</Characters>
  <Application>Microsoft Office Word</Application>
  <DocSecurity>0</DocSecurity>
  <Lines>405</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DMFA Review Report 2011</vt:lpstr>
      <vt:lpstr/>
    </vt:vector>
  </TitlesOfParts>
  <Company>HP</Company>
  <LinksUpToDate>false</LinksUpToDate>
  <CharactersWithSpaces>57025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DMFA Review Report 2011</dc:title>
  <dc:subject/>
  <dc:creator>UFT;anbajo@um.dk</dc:creator>
  <cp:lastModifiedBy>Tatyana Kudina</cp:lastModifiedBy>
  <cp:revision>2</cp:revision>
  <cp:lastPrinted>2011-09-22T14:49:00Z</cp:lastPrinted>
  <dcterms:created xsi:type="dcterms:W3CDTF">2016-04-01T14:14:00Z</dcterms:created>
  <dcterms:modified xsi:type="dcterms:W3CDTF">2016-04-01T14:14:00Z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1691;#UKR|ac2a8763-b8b1-4ebb-b99d-0d83724bc392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1108;#Evaluation Report|50a85c98-e48b-4c43-9473-01bf634f66b8</vt:lpwstr>
  </property>
  <property fmtid="{D5CDD505-2E9C-101B-9397-08002B2CF9AE}" pid="17" name="_dlc_DocIdItemGuid">
    <vt:lpwstr>a26a98eb-af11-48b2-92db-1adbeff2cac4</vt:lpwstr>
  </property>
  <property fmtid="{D5CDD505-2E9C-101B-9397-08002B2CF9AE}" pid="18" name="URL">
    <vt:lpwstr/>
  </property>
  <property fmtid="{D5CDD505-2E9C-101B-9397-08002B2CF9AE}" pid="19" name="DocumentSetDescription">
    <vt:lpwstr/>
  </property>
</Properties>
</file>